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00" w:rsidRDefault="00BD3A00" w:rsidP="00076B2B">
      <w:pPr>
        <w:pStyle w:val="Titre"/>
        <w:jc w:val="center"/>
      </w:pPr>
      <w:bookmarkStart w:id="0" w:name="_GoBack"/>
      <w:bookmarkEnd w:id="0"/>
      <w:r>
        <w:t>Océans d’historiographie.</w:t>
      </w:r>
    </w:p>
    <w:p w:rsidR="002060B9" w:rsidRPr="001C7E5B" w:rsidRDefault="002060B9" w:rsidP="00076B2B">
      <w:pPr>
        <w:pStyle w:val="Titre"/>
        <w:jc w:val="center"/>
      </w:pPr>
      <w:r w:rsidRPr="001C7E5B">
        <w:t xml:space="preserve">Ecrire l’histoire des migrations irlandaises </w:t>
      </w:r>
      <w:r w:rsidR="00076B2B">
        <w:t>à</w:t>
      </w:r>
      <w:r w:rsidRPr="001C7E5B">
        <w:t xml:space="preserve"> l’ère de la Famine</w:t>
      </w:r>
    </w:p>
    <w:p w:rsidR="00155677" w:rsidRPr="001C7E5B" w:rsidRDefault="00155677" w:rsidP="001C7E5B">
      <w:pPr>
        <w:spacing w:line="360" w:lineRule="auto"/>
        <w:ind w:firstLine="284"/>
        <w:rPr>
          <w:sz w:val="26"/>
          <w:szCs w:val="26"/>
        </w:rPr>
      </w:pPr>
    </w:p>
    <w:p w:rsidR="00155677" w:rsidRPr="001C7E5B" w:rsidRDefault="00155677" w:rsidP="001C7E5B">
      <w:pPr>
        <w:pStyle w:val="Titre2"/>
        <w:spacing w:line="360" w:lineRule="auto"/>
        <w:ind w:firstLine="284"/>
      </w:pPr>
      <w:r w:rsidRPr="001C7E5B">
        <w:t>Introduction</w:t>
      </w:r>
    </w:p>
    <w:p w:rsidR="00155677" w:rsidRPr="001C7E5B" w:rsidRDefault="00155677" w:rsidP="001C7E5B">
      <w:pPr>
        <w:spacing w:line="360" w:lineRule="auto"/>
        <w:ind w:firstLine="284"/>
        <w:rPr>
          <w:sz w:val="26"/>
          <w:szCs w:val="26"/>
        </w:rPr>
      </w:pPr>
    </w:p>
    <w:p w:rsidR="001C7E5B" w:rsidRPr="001C7E5B" w:rsidRDefault="001C7E5B" w:rsidP="001C7E5B">
      <w:pPr>
        <w:spacing w:line="360" w:lineRule="auto"/>
        <w:ind w:firstLine="284"/>
        <w:rPr>
          <w:sz w:val="26"/>
          <w:szCs w:val="26"/>
        </w:rPr>
      </w:pPr>
      <w:r>
        <w:rPr>
          <w:sz w:val="26"/>
          <w:szCs w:val="26"/>
        </w:rPr>
        <w:t xml:space="preserve">+ </w:t>
      </w:r>
      <w:r w:rsidRPr="001C7E5B">
        <w:rPr>
          <w:sz w:val="26"/>
          <w:szCs w:val="26"/>
        </w:rPr>
        <w:t>Il ne vous aura pas échappé que le sujet de la Grande Famine est révélateur de ce que tout objet d’histoire est construit, façonné par ceux et celles qui</w:t>
      </w:r>
      <w:r w:rsidR="00861DDD">
        <w:rPr>
          <w:sz w:val="26"/>
          <w:szCs w:val="26"/>
        </w:rPr>
        <w:t xml:space="preserve"> ont témoigné et</w:t>
      </w:r>
      <w:r w:rsidRPr="001C7E5B">
        <w:rPr>
          <w:sz w:val="26"/>
          <w:szCs w:val="26"/>
        </w:rPr>
        <w:t xml:space="preserve"> </w:t>
      </w:r>
      <w:r w:rsidR="00861DDD">
        <w:rPr>
          <w:sz w:val="26"/>
          <w:szCs w:val="26"/>
        </w:rPr>
        <w:t xml:space="preserve">fabriqué en </w:t>
      </w:r>
      <w:r w:rsidR="00306B66">
        <w:rPr>
          <w:sz w:val="26"/>
          <w:szCs w:val="26"/>
        </w:rPr>
        <w:t>quelque</w:t>
      </w:r>
      <w:r w:rsidR="00861DDD">
        <w:rPr>
          <w:sz w:val="26"/>
          <w:szCs w:val="26"/>
        </w:rPr>
        <w:t xml:space="preserve"> sorte l’événement</w:t>
      </w:r>
      <w:r w:rsidRPr="001C7E5B">
        <w:rPr>
          <w:sz w:val="26"/>
          <w:szCs w:val="26"/>
        </w:rPr>
        <w:t xml:space="preserve"> depuis la 2</w:t>
      </w:r>
      <w:r w:rsidRPr="001C7E5B">
        <w:rPr>
          <w:sz w:val="26"/>
          <w:szCs w:val="26"/>
          <w:vertAlign w:val="superscript"/>
        </w:rPr>
        <w:t>e</w:t>
      </w:r>
      <w:r w:rsidRPr="001C7E5B">
        <w:rPr>
          <w:sz w:val="26"/>
          <w:szCs w:val="26"/>
        </w:rPr>
        <w:t xml:space="preserve"> moitié du 19</w:t>
      </w:r>
      <w:r w:rsidRPr="001C7E5B">
        <w:rPr>
          <w:sz w:val="26"/>
          <w:szCs w:val="26"/>
          <w:vertAlign w:val="superscript"/>
        </w:rPr>
        <w:t>e</w:t>
      </w:r>
      <w:r w:rsidRPr="001C7E5B">
        <w:rPr>
          <w:sz w:val="26"/>
          <w:szCs w:val="26"/>
        </w:rPr>
        <w:t xml:space="preserve"> siècle. Mon propos ici est de vous montrer comment s’est façonné une histoire qui est indissociable de</w:t>
      </w:r>
      <w:r w:rsidR="00861DDD">
        <w:rPr>
          <w:sz w:val="26"/>
          <w:szCs w:val="26"/>
        </w:rPr>
        <w:t xml:space="preserve"> celle de</w:t>
      </w:r>
      <w:r w:rsidRPr="001C7E5B">
        <w:rPr>
          <w:sz w:val="26"/>
          <w:szCs w:val="26"/>
        </w:rPr>
        <w:t xml:space="preserve"> la Grande Famine, l’histoire de ces 1.5 millions d’Irlandais qui quittèrent leur terre natale en l’espace de 6 années.</w:t>
      </w:r>
      <w:r>
        <w:rPr>
          <w:sz w:val="26"/>
          <w:szCs w:val="26"/>
        </w:rPr>
        <w:t xml:space="preserve"> L’histoire de ces migrants appartient aussi à l’histoire de cette Grande Famine, même si la tradition migratoire irlandaise a précédé les années 1845-1851.</w:t>
      </w:r>
    </w:p>
    <w:p w:rsidR="00155677" w:rsidRPr="001C7E5B" w:rsidRDefault="001C7E5B" w:rsidP="001C7E5B">
      <w:pPr>
        <w:spacing w:line="360" w:lineRule="auto"/>
        <w:ind w:firstLine="284"/>
        <w:rPr>
          <w:sz w:val="26"/>
          <w:szCs w:val="26"/>
        </w:rPr>
      </w:pPr>
      <w:r>
        <w:rPr>
          <w:sz w:val="26"/>
          <w:szCs w:val="26"/>
        </w:rPr>
        <w:t xml:space="preserve">+ </w:t>
      </w:r>
      <w:r w:rsidR="00155677" w:rsidRPr="001C7E5B">
        <w:rPr>
          <w:sz w:val="26"/>
          <w:szCs w:val="26"/>
        </w:rPr>
        <w:t xml:space="preserve">Le titre « océans d’historiographie » est un emprunt à un très bel ouvrage paru en 1994 et rédigé par l’historien David </w:t>
      </w:r>
      <w:proofErr w:type="spellStart"/>
      <w:r w:rsidR="00155677" w:rsidRPr="001C7E5B">
        <w:rPr>
          <w:sz w:val="26"/>
          <w:szCs w:val="26"/>
        </w:rPr>
        <w:t>Fitzpatrick</w:t>
      </w:r>
      <w:proofErr w:type="spellEnd"/>
      <w:r w:rsidR="00155677" w:rsidRPr="001C7E5B">
        <w:rPr>
          <w:sz w:val="26"/>
          <w:szCs w:val="26"/>
        </w:rPr>
        <w:t xml:space="preserve"> </w:t>
      </w:r>
      <w:proofErr w:type="spellStart"/>
      <w:r w:rsidR="00155677" w:rsidRPr="001C7E5B">
        <w:rPr>
          <w:i/>
          <w:sz w:val="26"/>
          <w:szCs w:val="26"/>
        </w:rPr>
        <w:t>Oceans</w:t>
      </w:r>
      <w:proofErr w:type="spellEnd"/>
      <w:r w:rsidR="00155677" w:rsidRPr="001C7E5B">
        <w:rPr>
          <w:i/>
          <w:sz w:val="26"/>
          <w:szCs w:val="26"/>
        </w:rPr>
        <w:t xml:space="preserve"> of Consolation. </w:t>
      </w:r>
      <w:proofErr w:type="spellStart"/>
      <w:r w:rsidR="00155677" w:rsidRPr="001C7E5B">
        <w:rPr>
          <w:i/>
          <w:sz w:val="26"/>
          <w:szCs w:val="26"/>
        </w:rPr>
        <w:t>Personal</w:t>
      </w:r>
      <w:proofErr w:type="spellEnd"/>
      <w:r w:rsidR="00155677" w:rsidRPr="001C7E5B">
        <w:rPr>
          <w:i/>
          <w:sz w:val="26"/>
          <w:szCs w:val="26"/>
        </w:rPr>
        <w:t xml:space="preserve"> </w:t>
      </w:r>
      <w:proofErr w:type="spellStart"/>
      <w:r w:rsidR="00155677" w:rsidRPr="001C7E5B">
        <w:rPr>
          <w:i/>
          <w:sz w:val="26"/>
          <w:szCs w:val="26"/>
        </w:rPr>
        <w:t>Accounts</w:t>
      </w:r>
      <w:proofErr w:type="spellEnd"/>
      <w:r w:rsidR="00155677" w:rsidRPr="001C7E5B">
        <w:rPr>
          <w:i/>
          <w:sz w:val="26"/>
          <w:szCs w:val="26"/>
        </w:rPr>
        <w:t xml:space="preserve"> of Irish Migration to </w:t>
      </w:r>
      <w:proofErr w:type="spellStart"/>
      <w:r w:rsidR="00155677" w:rsidRPr="001C7E5B">
        <w:rPr>
          <w:i/>
          <w:sz w:val="26"/>
          <w:szCs w:val="26"/>
        </w:rPr>
        <w:t>Australia</w:t>
      </w:r>
      <w:proofErr w:type="spellEnd"/>
      <w:r w:rsidR="00155677" w:rsidRPr="001C7E5B">
        <w:rPr>
          <w:i/>
          <w:sz w:val="26"/>
          <w:szCs w:val="26"/>
        </w:rPr>
        <w:t xml:space="preserve"> (1843-1906)</w:t>
      </w:r>
      <w:r w:rsidR="00632C3B" w:rsidRPr="001C7E5B">
        <w:rPr>
          <w:sz w:val="26"/>
          <w:szCs w:val="26"/>
        </w:rPr>
        <w:t>. J’ai repris cette expression pour deux raisons:</w:t>
      </w:r>
    </w:p>
    <w:p w:rsidR="00632C3B" w:rsidRPr="001C7E5B" w:rsidRDefault="00632C3B" w:rsidP="001C7E5B">
      <w:pPr>
        <w:pStyle w:val="Paragraphedeliste"/>
        <w:numPr>
          <w:ilvl w:val="0"/>
          <w:numId w:val="3"/>
        </w:numPr>
        <w:spacing w:line="360" w:lineRule="auto"/>
        <w:ind w:left="0" w:firstLine="284"/>
        <w:rPr>
          <w:sz w:val="26"/>
          <w:szCs w:val="26"/>
        </w:rPr>
      </w:pPr>
      <w:r w:rsidRPr="001C7E5B">
        <w:rPr>
          <w:sz w:val="26"/>
          <w:szCs w:val="26"/>
        </w:rPr>
        <w:t xml:space="preserve">Migrations: </w:t>
      </w:r>
      <w:r w:rsidR="00BA28A8">
        <w:rPr>
          <w:sz w:val="26"/>
          <w:szCs w:val="26"/>
        </w:rPr>
        <w:t>à la fois</w:t>
      </w:r>
      <w:r w:rsidRPr="001C7E5B">
        <w:rPr>
          <w:sz w:val="26"/>
          <w:szCs w:val="26"/>
        </w:rPr>
        <w:t xml:space="preserve"> un voyage dans l’espace, dans le temps. Traversée de l’océan est </w:t>
      </w:r>
      <w:r w:rsidR="00BA28A8">
        <w:rPr>
          <w:sz w:val="26"/>
          <w:szCs w:val="26"/>
        </w:rPr>
        <w:t>physique, matérielle mais aussi symbolique et culturelles</w:t>
      </w:r>
    </w:p>
    <w:p w:rsidR="00632C3B" w:rsidRPr="001C7E5B" w:rsidRDefault="00632C3B" w:rsidP="001C7E5B">
      <w:pPr>
        <w:pStyle w:val="Paragraphedeliste"/>
        <w:numPr>
          <w:ilvl w:val="0"/>
          <w:numId w:val="3"/>
        </w:numPr>
        <w:spacing w:line="360" w:lineRule="auto"/>
        <w:ind w:left="0" w:firstLine="284"/>
        <w:rPr>
          <w:sz w:val="26"/>
          <w:szCs w:val="26"/>
        </w:rPr>
      </w:pPr>
      <w:r w:rsidRPr="001C7E5B">
        <w:rPr>
          <w:sz w:val="26"/>
          <w:szCs w:val="26"/>
        </w:rPr>
        <w:t xml:space="preserve">Océan comme masse infinie d’ouvrages sur la question : plusieurs centaines d’études de la diaspora pour l’Amérique du Nord + GB + anciennes colonies. </w:t>
      </w:r>
    </w:p>
    <w:p w:rsidR="00632C3B" w:rsidRPr="001C7E5B" w:rsidRDefault="00BA28A8" w:rsidP="001C7E5B">
      <w:pPr>
        <w:spacing w:line="360" w:lineRule="auto"/>
        <w:ind w:firstLine="284"/>
        <w:rPr>
          <w:sz w:val="26"/>
          <w:szCs w:val="26"/>
        </w:rPr>
      </w:pPr>
      <w:r>
        <w:rPr>
          <w:sz w:val="26"/>
          <w:szCs w:val="26"/>
        </w:rPr>
        <w:t xml:space="preserve">+ </w:t>
      </w:r>
      <w:r w:rsidR="00632C3B" w:rsidRPr="001C7E5B">
        <w:rPr>
          <w:sz w:val="26"/>
          <w:szCs w:val="26"/>
        </w:rPr>
        <w:t>L’objet de mon propos est donc d’essayer, pour filer la métaphore maritime, de vous donner des repères et des balises pour naviguer à vue dans cette masse historiographique.</w:t>
      </w:r>
    </w:p>
    <w:p w:rsidR="00BD3A00" w:rsidRDefault="00BD3A00">
      <w:pPr>
        <w:jc w:val="left"/>
        <w:rPr>
          <w:sz w:val="26"/>
          <w:szCs w:val="26"/>
        </w:rPr>
      </w:pPr>
      <w:r>
        <w:rPr>
          <w:sz w:val="26"/>
          <w:szCs w:val="26"/>
        </w:rPr>
        <w:br w:type="page"/>
      </w:r>
    </w:p>
    <w:p w:rsidR="009C0E16" w:rsidRPr="00BA28A8" w:rsidRDefault="009C0E16" w:rsidP="001C7E5B">
      <w:pPr>
        <w:pStyle w:val="Titre2"/>
        <w:numPr>
          <w:ilvl w:val="0"/>
          <w:numId w:val="6"/>
        </w:numPr>
        <w:spacing w:line="360" w:lineRule="auto"/>
        <w:rPr>
          <w:u w:val="single"/>
        </w:rPr>
      </w:pPr>
      <w:r w:rsidRPr="00BA28A8">
        <w:rPr>
          <w:u w:val="single"/>
        </w:rPr>
        <w:lastRenderedPageBreak/>
        <w:t>La diaspora irlandaise, objet d’histoire</w:t>
      </w:r>
    </w:p>
    <w:p w:rsidR="00897685" w:rsidRDefault="00897685" w:rsidP="001C7E5B">
      <w:pPr>
        <w:spacing w:line="360" w:lineRule="auto"/>
        <w:ind w:firstLine="284"/>
        <w:rPr>
          <w:sz w:val="26"/>
          <w:szCs w:val="26"/>
        </w:rPr>
      </w:pPr>
    </w:p>
    <w:p w:rsidR="00F05CBD" w:rsidRPr="00F05CBD" w:rsidRDefault="00F05CBD" w:rsidP="001C7E5B">
      <w:pPr>
        <w:spacing w:line="360" w:lineRule="auto"/>
        <w:ind w:firstLine="284"/>
        <w:rPr>
          <w:sz w:val="26"/>
          <w:szCs w:val="26"/>
        </w:rPr>
      </w:pPr>
      <w:r>
        <w:rPr>
          <w:sz w:val="26"/>
          <w:szCs w:val="26"/>
        </w:rPr>
        <w:t xml:space="preserve">+ D’où vient l’usage du terme </w:t>
      </w:r>
      <w:r w:rsidR="00BA28A8">
        <w:rPr>
          <w:sz w:val="26"/>
          <w:szCs w:val="26"/>
        </w:rPr>
        <w:t>« </w:t>
      </w:r>
      <w:r w:rsidRPr="00BA28A8">
        <w:rPr>
          <w:b/>
          <w:sz w:val="26"/>
          <w:szCs w:val="26"/>
        </w:rPr>
        <w:t>diaspora</w:t>
      </w:r>
      <w:r w:rsidR="00BA28A8">
        <w:rPr>
          <w:b/>
          <w:sz w:val="26"/>
          <w:szCs w:val="26"/>
        </w:rPr>
        <w:t> </w:t>
      </w:r>
      <w:r w:rsidR="00BA28A8" w:rsidRPr="00BA28A8">
        <w:rPr>
          <w:sz w:val="26"/>
          <w:szCs w:val="26"/>
        </w:rPr>
        <w:t>»</w:t>
      </w:r>
      <w:r>
        <w:rPr>
          <w:sz w:val="26"/>
          <w:szCs w:val="26"/>
        </w:rPr>
        <w:t xml:space="preserve"> en histoire irlandaise ? Donald </w:t>
      </w:r>
      <w:proofErr w:type="spellStart"/>
      <w:r>
        <w:rPr>
          <w:sz w:val="26"/>
          <w:szCs w:val="26"/>
        </w:rPr>
        <w:t>Akenson</w:t>
      </w:r>
      <w:proofErr w:type="spellEnd"/>
      <w:r>
        <w:rPr>
          <w:sz w:val="26"/>
          <w:szCs w:val="26"/>
        </w:rPr>
        <w:t xml:space="preserve"> nous rappelle qu’un ouvrage de 1976 </w:t>
      </w:r>
      <w:proofErr w:type="spellStart"/>
      <w:r>
        <w:rPr>
          <w:i/>
          <w:sz w:val="26"/>
          <w:szCs w:val="26"/>
        </w:rPr>
        <w:t>African</w:t>
      </w:r>
      <w:proofErr w:type="spellEnd"/>
      <w:r>
        <w:rPr>
          <w:i/>
          <w:sz w:val="26"/>
          <w:szCs w:val="26"/>
        </w:rPr>
        <w:t xml:space="preserve"> Diaspora</w:t>
      </w:r>
      <w:r>
        <w:rPr>
          <w:sz w:val="26"/>
          <w:szCs w:val="26"/>
        </w:rPr>
        <w:t xml:space="preserve"> de Martin </w:t>
      </w:r>
      <w:proofErr w:type="spellStart"/>
      <w:r>
        <w:rPr>
          <w:sz w:val="26"/>
          <w:szCs w:val="26"/>
        </w:rPr>
        <w:t>Kilson</w:t>
      </w:r>
      <w:proofErr w:type="spellEnd"/>
      <w:r>
        <w:rPr>
          <w:sz w:val="26"/>
          <w:szCs w:val="26"/>
        </w:rPr>
        <w:t xml:space="preserve"> and Robert </w:t>
      </w:r>
      <w:proofErr w:type="spellStart"/>
      <w:r>
        <w:rPr>
          <w:sz w:val="26"/>
          <w:szCs w:val="26"/>
        </w:rPr>
        <w:t>Rotberg</w:t>
      </w:r>
      <w:proofErr w:type="spellEnd"/>
      <w:r>
        <w:rPr>
          <w:sz w:val="26"/>
          <w:szCs w:val="26"/>
        </w:rPr>
        <w:t xml:space="preserve"> qui soulignent la force du concept de diaspora (exile forcé des Juifs) appliqué à l’histoire de l’e</w:t>
      </w:r>
      <w:r w:rsidR="00306B66">
        <w:rPr>
          <w:sz w:val="26"/>
          <w:szCs w:val="26"/>
        </w:rPr>
        <w:t xml:space="preserve">sclavage et de la colonisation =&gt; </w:t>
      </w:r>
      <w:r>
        <w:rPr>
          <w:sz w:val="26"/>
          <w:szCs w:val="26"/>
        </w:rPr>
        <w:t xml:space="preserve">terme popularisé chez africanistes à partir des années 1960. </w:t>
      </w:r>
      <w:r w:rsidR="00BA28A8" w:rsidRPr="00BD3A00">
        <w:rPr>
          <w:sz w:val="26"/>
          <w:szCs w:val="26"/>
        </w:rPr>
        <w:t xml:space="preserve">Définition de la « diaspora » rappelée par </w:t>
      </w:r>
      <w:proofErr w:type="spellStart"/>
      <w:r w:rsidR="00BA28A8" w:rsidRPr="00BD3A00">
        <w:rPr>
          <w:sz w:val="26"/>
          <w:szCs w:val="26"/>
        </w:rPr>
        <w:t>Enda</w:t>
      </w:r>
      <w:proofErr w:type="spellEnd"/>
      <w:r w:rsidR="00BA28A8" w:rsidRPr="00BD3A00">
        <w:rPr>
          <w:sz w:val="26"/>
          <w:szCs w:val="26"/>
        </w:rPr>
        <w:t xml:space="preserve"> Delaney 2006 – diasporas partagent un context</w:t>
      </w:r>
      <w:r w:rsidR="00306B66">
        <w:rPr>
          <w:sz w:val="26"/>
          <w:szCs w:val="26"/>
        </w:rPr>
        <w:t>e</w:t>
      </w:r>
      <w:r w:rsidR="00BA28A8" w:rsidRPr="00BD3A00">
        <w:rPr>
          <w:sz w:val="26"/>
          <w:szCs w:val="26"/>
        </w:rPr>
        <w:t xml:space="preserve"> catastrophique (éco, social, humain), </w:t>
      </w:r>
      <w:proofErr w:type="spellStart"/>
      <w:r w:rsidR="00BA28A8" w:rsidRPr="00BD3A00">
        <w:rPr>
          <w:sz w:val="26"/>
          <w:szCs w:val="26"/>
        </w:rPr>
        <w:t>movement</w:t>
      </w:r>
      <w:proofErr w:type="spellEnd"/>
      <w:r w:rsidR="00BA28A8" w:rsidRPr="00BD3A00">
        <w:rPr>
          <w:sz w:val="26"/>
          <w:szCs w:val="26"/>
        </w:rPr>
        <w:t xml:space="preserve"> forcé, mémoire partagée de l’événement, l’idée qu’un retour est possible</w:t>
      </w:r>
      <w:r w:rsidR="00BA28A8">
        <w:rPr>
          <w:sz w:val="26"/>
          <w:szCs w:val="26"/>
        </w:rPr>
        <w:t xml:space="preserve">. </w:t>
      </w:r>
      <w:r w:rsidR="00306B66">
        <w:rPr>
          <w:sz w:val="26"/>
          <w:szCs w:val="26"/>
        </w:rPr>
        <w:t xml:space="preserve">Diaspora a fait son entrée dans le discours public irlandais sous la présidence de Mary Robinson (1990-97). </w:t>
      </w:r>
      <w:r w:rsidR="00BA28A8">
        <w:rPr>
          <w:sz w:val="26"/>
          <w:szCs w:val="26"/>
        </w:rPr>
        <w:t xml:space="preserve">Cependant attention à la banalisation du terme qui est devenu l’équivalent de simple « dispersion » (ex de la diaspora chinoise </w:t>
      </w:r>
      <w:proofErr w:type="spellStart"/>
      <w:r w:rsidR="00BA28A8">
        <w:rPr>
          <w:sz w:val="26"/>
          <w:szCs w:val="26"/>
        </w:rPr>
        <w:t>ds</w:t>
      </w:r>
      <w:proofErr w:type="spellEnd"/>
      <w:r w:rsidR="00BA28A8">
        <w:rPr>
          <w:sz w:val="26"/>
          <w:szCs w:val="26"/>
        </w:rPr>
        <w:t xml:space="preserve"> 2</w:t>
      </w:r>
      <w:r w:rsidR="00BA28A8" w:rsidRPr="00BA28A8">
        <w:rPr>
          <w:sz w:val="26"/>
          <w:szCs w:val="26"/>
          <w:vertAlign w:val="superscript"/>
        </w:rPr>
        <w:t>e</w:t>
      </w:r>
      <w:r w:rsidR="00BA28A8">
        <w:rPr>
          <w:sz w:val="26"/>
          <w:szCs w:val="26"/>
        </w:rPr>
        <w:t xml:space="preserve"> moitié du 20</w:t>
      </w:r>
      <w:r w:rsidR="00BA28A8" w:rsidRPr="00BA28A8">
        <w:rPr>
          <w:sz w:val="26"/>
          <w:szCs w:val="26"/>
          <w:vertAlign w:val="superscript"/>
        </w:rPr>
        <w:t>e</w:t>
      </w:r>
      <w:r w:rsidR="00BA28A8">
        <w:rPr>
          <w:sz w:val="26"/>
          <w:szCs w:val="26"/>
        </w:rPr>
        <w:t>).</w:t>
      </w:r>
      <w:r w:rsidR="001979B0">
        <w:rPr>
          <w:sz w:val="26"/>
          <w:szCs w:val="26"/>
        </w:rPr>
        <w:t xml:space="preserve"> </w:t>
      </w:r>
    </w:p>
    <w:p w:rsidR="00D44936" w:rsidRDefault="00BD3A00" w:rsidP="00BA28A8">
      <w:pPr>
        <w:spacing w:line="360" w:lineRule="auto"/>
        <w:rPr>
          <w:sz w:val="26"/>
          <w:szCs w:val="26"/>
        </w:rPr>
      </w:pPr>
      <w:r>
        <w:rPr>
          <w:sz w:val="26"/>
          <w:szCs w:val="26"/>
        </w:rPr>
        <w:t xml:space="preserve">+ </w:t>
      </w:r>
      <w:r w:rsidR="00897685" w:rsidRPr="001C7E5B">
        <w:rPr>
          <w:sz w:val="26"/>
          <w:szCs w:val="26"/>
        </w:rPr>
        <w:t>La question migratoire pendant la Grande Famine est véritablement devenu</w:t>
      </w:r>
      <w:r w:rsidR="00BA28A8">
        <w:rPr>
          <w:sz w:val="26"/>
          <w:szCs w:val="26"/>
        </w:rPr>
        <w:t>e</w:t>
      </w:r>
      <w:r w:rsidR="00897685" w:rsidRPr="001C7E5B">
        <w:rPr>
          <w:sz w:val="26"/>
          <w:szCs w:val="26"/>
        </w:rPr>
        <w:t xml:space="preserve"> objet d’h</w:t>
      </w:r>
      <w:r w:rsidR="00BA28A8">
        <w:rPr>
          <w:sz w:val="26"/>
          <w:szCs w:val="26"/>
        </w:rPr>
        <w:t>istoire à partir des années 1960 et essor dans les années 1970.</w:t>
      </w:r>
      <w:r w:rsidR="00BA28A8">
        <w:rPr>
          <w:rStyle w:val="Appelnotedebasdep"/>
          <w:sz w:val="26"/>
          <w:szCs w:val="26"/>
        </w:rPr>
        <w:footnoteReference w:id="1"/>
      </w:r>
      <w:r w:rsidR="00BA28A8">
        <w:rPr>
          <w:sz w:val="26"/>
          <w:szCs w:val="26"/>
        </w:rPr>
        <w:t xml:space="preserve"> Cela est lié à un contexte à la fois irlandais, britannique et global. En Irlande, les années 1970 sont marquées par la période des</w:t>
      </w:r>
      <w:r w:rsidR="008B6428" w:rsidRPr="001C7E5B">
        <w:rPr>
          <w:sz w:val="26"/>
          <w:szCs w:val="26"/>
        </w:rPr>
        <w:t xml:space="preserve"> </w:t>
      </w:r>
      <w:r w:rsidR="00BA28A8" w:rsidRPr="00306B66">
        <w:rPr>
          <w:i/>
          <w:sz w:val="26"/>
          <w:szCs w:val="26"/>
        </w:rPr>
        <w:t>Troubles</w:t>
      </w:r>
      <w:r w:rsidR="00BA28A8">
        <w:rPr>
          <w:sz w:val="26"/>
          <w:szCs w:val="26"/>
        </w:rPr>
        <w:t xml:space="preserve">. Des interrogations ressurgissent donc sur la coexistence des communautés en Irlande du nord, mais également au RU dans un contexte de revendication des droits des « minorités » et le constat de l’avènement </w:t>
      </w:r>
      <w:r w:rsidR="00306B66">
        <w:rPr>
          <w:sz w:val="26"/>
          <w:szCs w:val="26"/>
        </w:rPr>
        <w:t>d’une société</w:t>
      </w:r>
      <w:r w:rsidR="00BA28A8">
        <w:rPr>
          <w:sz w:val="26"/>
          <w:szCs w:val="26"/>
        </w:rPr>
        <w:t xml:space="preserve"> de plus en plus multiculturelle. Plus globalement, la dimension transatlantique des </w:t>
      </w:r>
      <w:r w:rsidR="00306B66">
        <w:rPr>
          <w:sz w:val="26"/>
          <w:szCs w:val="26"/>
        </w:rPr>
        <w:t>migrations irlandaises et la ré</w:t>
      </w:r>
      <w:r w:rsidR="00BA28A8">
        <w:rPr>
          <w:sz w:val="26"/>
          <w:szCs w:val="26"/>
        </w:rPr>
        <w:t xml:space="preserve">évaluation du rôle colonial et colonisateur joué par l’Irlande dans le sillage des </w:t>
      </w:r>
      <w:r w:rsidR="00BA28A8" w:rsidRPr="00306B66">
        <w:rPr>
          <w:i/>
          <w:sz w:val="26"/>
          <w:szCs w:val="26"/>
        </w:rPr>
        <w:t xml:space="preserve">postcolonial </w:t>
      </w:r>
      <w:proofErr w:type="spellStart"/>
      <w:r w:rsidR="00BA28A8" w:rsidRPr="00306B66">
        <w:rPr>
          <w:i/>
          <w:sz w:val="26"/>
          <w:szCs w:val="26"/>
        </w:rPr>
        <w:t>studies</w:t>
      </w:r>
      <w:proofErr w:type="spellEnd"/>
      <w:r w:rsidR="00BA28A8">
        <w:rPr>
          <w:sz w:val="26"/>
          <w:szCs w:val="26"/>
        </w:rPr>
        <w:t xml:space="preserve"> contribuent à redynamiser l’étude des migrations irlandaises.</w:t>
      </w:r>
    </w:p>
    <w:p w:rsidR="00D44936" w:rsidRPr="001C7E5B" w:rsidRDefault="00D44936" w:rsidP="00D44936">
      <w:pPr>
        <w:spacing w:line="360" w:lineRule="auto"/>
        <w:ind w:firstLine="284"/>
        <w:rPr>
          <w:sz w:val="26"/>
          <w:szCs w:val="26"/>
        </w:rPr>
      </w:pPr>
      <w:r>
        <w:rPr>
          <w:sz w:val="26"/>
          <w:szCs w:val="26"/>
        </w:rPr>
        <w:t>+ Débats autour de l’importance de la GF dans l’histoire irlandaise en général n’ont pas épargné la question migratoire : comment interpréter le départ de 1.5 M de personnes en l’espace de 6 années ? Continuités avec schémas pré-Famine ? Rupture ?</w:t>
      </w:r>
    </w:p>
    <w:p w:rsidR="00140E0A" w:rsidRDefault="00140E0A">
      <w:pPr>
        <w:jc w:val="left"/>
        <w:rPr>
          <w:sz w:val="26"/>
          <w:szCs w:val="26"/>
        </w:rPr>
      </w:pPr>
      <w:r>
        <w:rPr>
          <w:sz w:val="26"/>
          <w:szCs w:val="26"/>
        </w:rPr>
        <w:br w:type="page"/>
      </w:r>
    </w:p>
    <w:p w:rsidR="009C0CE3" w:rsidRDefault="00897685" w:rsidP="001C7E5B">
      <w:pPr>
        <w:spacing w:line="360" w:lineRule="auto"/>
        <w:ind w:firstLine="284"/>
        <w:rPr>
          <w:sz w:val="26"/>
          <w:szCs w:val="26"/>
        </w:rPr>
      </w:pPr>
      <w:r w:rsidRPr="001C7E5B">
        <w:rPr>
          <w:sz w:val="26"/>
          <w:szCs w:val="26"/>
        </w:rPr>
        <w:lastRenderedPageBreak/>
        <w:t xml:space="preserve">+ </w:t>
      </w:r>
      <w:r w:rsidR="009C0CE3" w:rsidRPr="001C7E5B">
        <w:rPr>
          <w:sz w:val="26"/>
          <w:szCs w:val="26"/>
        </w:rPr>
        <w:t xml:space="preserve">Dans </w:t>
      </w:r>
      <w:r w:rsidR="00D44936">
        <w:rPr>
          <w:sz w:val="26"/>
          <w:szCs w:val="26"/>
        </w:rPr>
        <w:t>cette perspective</w:t>
      </w:r>
      <w:r w:rsidR="009C0CE3" w:rsidRPr="001C7E5B">
        <w:rPr>
          <w:sz w:val="26"/>
          <w:szCs w:val="26"/>
        </w:rPr>
        <w:t>, plusieurs ouvrages vont servir de repères et de guides pour toute une génération d’historiens</w:t>
      </w:r>
      <w:r w:rsidR="00140E0A">
        <w:rPr>
          <w:sz w:val="26"/>
          <w:szCs w:val="26"/>
        </w:rPr>
        <w:t xml:space="preserve"> (qui correspondent aux 3 </w:t>
      </w:r>
      <w:r w:rsidR="00BB00CF">
        <w:rPr>
          <w:sz w:val="26"/>
          <w:szCs w:val="26"/>
        </w:rPr>
        <w:t>principaux</w:t>
      </w:r>
      <w:r w:rsidR="00140E0A">
        <w:rPr>
          <w:sz w:val="26"/>
          <w:szCs w:val="26"/>
        </w:rPr>
        <w:t xml:space="preserve"> espaces accueillant migrants, </w:t>
      </w:r>
      <w:proofErr w:type="spellStart"/>
      <w:r w:rsidR="00140E0A">
        <w:rPr>
          <w:sz w:val="26"/>
          <w:szCs w:val="26"/>
        </w:rPr>
        <w:t>cad</w:t>
      </w:r>
      <w:proofErr w:type="spellEnd"/>
      <w:r w:rsidR="00140E0A">
        <w:rPr>
          <w:sz w:val="26"/>
          <w:szCs w:val="26"/>
        </w:rPr>
        <w:t xml:space="preserve"> Amérique du Nord, Grande-Bretagne et Australie)</w:t>
      </w:r>
    </w:p>
    <w:p w:rsidR="00140E0A" w:rsidRPr="0043197C" w:rsidRDefault="00140E0A" w:rsidP="00140E0A">
      <w:pPr>
        <w:pStyle w:val="Paragraphedeliste"/>
        <w:numPr>
          <w:ilvl w:val="0"/>
          <w:numId w:val="7"/>
        </w:numPr>
        <w:spacing w:line="360" w:lineRule="auto"/>
        <w:rPr>
          <w:sz w:val="26"/>
          <w:szCs w:val="26"/>
        </w:rPr>
      </w:pPr>
      <w:proofErr w:type="spellStart"/>
      <w:r w:rsidRPr="00306B66">
        <w:rPr>
          <w:b/>
          <w:sz w:val="26"/>
          <w:szCs w:val="26"/>
          <w:lang w:val="en-US"/>
        </w:rPr>
        <w:t>Kerby</w:t>
      </w:r>
      <w:proofErr w:type="spellEnd"/>
      <w:r w:rsidRPr="00306B66">
        <w:rPr>
          <w:b/>
          <w:sz w:val="26"/>
          <w:szCs w:val="26"/>
          <w:lang w:val="en-US"/>
        </w:rPr>
        <w:t xml:space="preserve"> A. Miller, </w:t>
      </w:r>
      <w:r w:rsidRPr="00306B66">
        <w:rPr>
          <w:b/>
          <w:i/>
          <w:sz w:val="26"/>
          <w:szCs w:val="26"/>
          <w:lang w:val="en-US"/>
        </w:rPr>
        <w:t>Emigrants and Exiles. Ireland and the Irish Exodus to North America</w:t>
      </w:r>
      <w:r w:rsidRPr="00306B66">
        <w:rPr>
          <w:b/>
          <w:sz w:val="26"/>
          <w:szCs w:val="26"/>
          <w:lang w:val="en-US"/>
        </w:rPr>
        <w:t>, 1985.</w:t>
      </w:r>
      <w:r>
        <w:rPr>
          <w:sz w:val="26"/>
          <w:szCs w:val="26"/>
          <w:lang w:val="en-US"/>
        </w:rPr>
        <w:t xml:space="preserve"> </w:t>
      </w:r>
      <w:r w:rsidRPr="0043197C">
        <w:rPr>
          <w:sz w:val="26"/>
          <w:szCs w:val="26"/>
        </w:rPr>
        <w:t xml:space="preserve">Originalité de l’approche tient à sa méthodologie avec étude </w:t>
      </w:r>
      <w:r w:rsidR="00E44E55">
        <w:rPr>
          <w:sz w:val="26"/>
          <w:szCs w:val="26"/>
        </w:rPr>
        <w:t>d’une correspondance de 5000 lettres</w:t>
      </w:r>
      <w:r w:rsidR="00295955">
        <w:rPr>
          <w:sz w:val="26"/>
          <w:szCs w:val="26"/>
        </w:rPr>
        <w:t xml:space="preserve"> et aussi à l’ampleur chronologique de l’étude (17</w:t>
      </w:r>
      <w:r w:rsidR="00295955" w:rsidRPr="00295955">
        <w:rPr>
          <w:sz w:val="26"/>
          <w:szCs w:val="26"/>
          <w:vertAlign w:val="superscript"/>
        </w:rPr>
        <w:t>e</w:t>
      </w:r>
      <w:r w:rsidR="00295955">
        <w:rPr>
          <w:sz w:val="26"/>
          <w:szCs w:val="26"/>
        </w:rPr>
        <w:t>-1921)</w:t>
      </w:r>
      <w:r w:rsidR="00E44E55">
        <w:rPr>
          <w:sz w:val="26"/>
          <w:szCs w:val="26"/>
        </w:rPr>
        <w:t xml:space="preserve"> et la dimension transatlantique</w:t>
      </w:r>
      <w:r>
        <w:rPr>
          <w:sz w:val="26"/>
          <w:szCs w:val="26"/>
        </w:rPr>
        <w:t>. Insiste sur la fabrication d’une identité irlandaise spécifique qui est façonnée par cette expérience de l’exil et des migrations. Un chapitre sur l’impact de la GF et de la disparition d’une génération puisque seul 1/3 des hommes irlandais né</w:t>
      </w:r>
      <w:r w:rsidR="00DA05B2">
        <w:rPr>
          <w:sz w:val="26"/>
          <w:szCs w:val="26"/>
        </w:rPr>
        <w:t>s</w:t>
      </w:r>
      <w:r>
        <w:rPr>
          <w:sz w:val="26"/>
          <w:szCs w:val="26"/>
        </w:rPr>
        <w:t xml:space="preserve"> au début des années 1830 meurt dans sa terre natale</w:t>
      </w:r>
      <w:r w:rsidR="00BB00CF">
        <w:rPr>
          <w:sz w:val="26"/>
          <w:szCs w:val="26"/>
        </w:rPr>
        <w:t xml:space="preserve"> (de vieillesse)</w:t>
      </w:r>
      <w:r>
        <w:rPr>
          <w:sz w:val="26"/>
          <w:szCs w:val="26"/>
        </w:rPr>
        <w:t>. Mais il inscrit cette émigration dans une perspective de longue durée (pré et post Famine).</w:t>
      </w:r>
    </w:p>
    <w:p w:rsidR="00140E0A" w:rsidRPr="00140E0A" w:rsidRDefault="00140E0A" w:rsidP="00140E0A">
      <w:pPr>
        <w:pStyle w:val="Paragraphedeliste"/>
        <w:spacing w:line="360" w:lineRule="auto"/>
        <w:ind w:left="644"/>
        <w:rPr>
          <w:sz w:val="26"/>
          <w:szCs w:val="26"/>
        </w:rPr>
      </w:pPr>
    </w:p>
    <w:p w:rsidR="009C0CE3" w:rsidRDefault="00140E0A" w:rsidP="00140E0A">
      <w:pPr>
        <w:pStyle w:val="Paragraphedeliste"/>
        <w:numPr>
          <w:ilvl w:val="0"/>
          <w:numId w:val="7"/>
        </w:numPr>
        <w:spacing w:line="360" w:lineRule="auto"/>
        <w:rPr>
          <w:sz w:val="26"/>
          <w:szCs w:val="26"/>
        </w:rPr>
      </w:pPr>
      <w:r w:rsidRPr="00306B66">
        <w:rPr>
          <w:sz w:val="26"/>
          <w:szCs w:val="26"/>
        </w:rPr>
        <w:t xml:space="preserve"> </w:t>
      </w:r>
      <w:r w:rsidR="009C0CE3" w:rsidRPr="00306B66">
        <w:rPr>
          <w:b/>
          <w:sz w:val="26"/>
          <w:szCs w:val="26"/>
          <w:lang w:val="en-US"/>
        </w:rPr>
        <w:t>R. Swift and S. Gilley</w:t>
      </w:r>
      <w:r w:rsidR="0003519D" w:rsidRPr="00306B66">
        <w:rPr>
          <w:b/>
          <w:sz w:val="26"/>
          <w:szCs w:val="26"/>
          <w:lang w:val="en-US"/>
        </w:rPr>
        <w:t xml:space="preserve"> </w:t>
      </w:r>
      <w:r w:rsidR="0003519D" w:rsidRPr="00306B66">
        <w:rPr>
          <w:b/>
          <w:i/>
          <w:iCs/>
          <w:sz w:val="26"/>
          <w:szCs w:val="26"/>
          <w:lang w:val="en-US"/>
        </w:rPr>
        <w:t>The Irish in the Victorian City</w:t>
      </w:r>
      <w:r w:rsidRPr="00306B66">
        <w:rPr>
          <w:b/>
          <w:iCs/>
          <w:sz w:val="26"/>
          <w:szCs w:val="26"/>
          <w:lang w:val="en-US"/>
        </w:rPr>
        <w:t xml:space="preserve"> (1985)</w:t>
      </w:r>
      <w:r w:rsidR="0003519D" w:rsidRPr="001C7E5B">
        <w:rPr>
          <w:rStyle w:val="Appelnotedebasdep"/>
          <w:sz w:val="26"/>
          <w:szCs w:val="26"/>
        </w:rPr>
        <w:footnoteReference w:id="2"/>
      </w:r>
      <w:r w:rsidR="0003519D" w:rsidRPr="00140E0A">
        <w:rPr>
          <w:i/>
          <w:iCs/>
          <w:sz w:val="26"/>
          <w:szCs w:val="26"/>
          <w:lang w:val="en-US"/>
        </w:rPr>
        <w:t xml:space="preserve">. </w:t>
      </w:r>
      <w:r w:rsidR="0003519D" w:rsidRPr="00140E0A">
        <w:rPr>
          <w:sz w:val="26"/>
          <w:szCs w:val="26"/>
        </w:rPr>
        <w:t>L’axe problématique de l’ouvrage, est avant tout celui de la place des Irlandais dans une Grande-Bretagne urbaine – reflet d’une immigration partagée entre le désir de se fondre dans la société britannique et la volonté de garder une identité à part</w:t>
      </w:r>
      <w:r w:rsidR="0003519D" w:rsidRPr="001C7E5B">
        <w:rPr>
          <w:rStyle w:val="Appelnotedebasdep"/>
          <w:sz w:val="26"/>
          <w:szCs w:val="26"/>
        </w:rPr>
        <w:footnoteReference w:id="3"/>
      </w:r>
      <w:r w:rsidR="0003519D" w:rsidRPr="00140E0A">
        <w:rPr>
          <w:sz w:val="26"/>
          <w:szCs w:val="26"/>
        </w:rPr>
        <w:t xml:space="preserve">. Au fil de ce thème, plusieurs auteurs explorent les trois axes fondateurs des études sur la question : la dimension sociale et économique du phénomène migratoire irlandais (pauvreté, criminalité, emplois), la dimension politique (partis britanniques, syndicalisme et nationalisme irlandais), ainsi que les aspects religieux (Irlandais catholiques en terre protestante et </w:t>
      </w:r>
      <w:proofErr w:type="spellStart"/>
      <w:r w:rsidR="0003519D" w:rsidRPr="00140E0A">
        <w:rPr>
          <w:sz w:val="26"/>
          <w:szCs w:val="26"/>
        </w:rPr>
        <w:t>Orangisme</w:t>
      </w:r>
      <w:proofErr w:type="spellEnd"/>
      <w:r w:rsidR="0003519D" w:rsidRPr="00140E0A">
        <w:rPr>
          <w:sz w:val="26"/>
          <w:szCs w:val="26"/>
        </w:rPr>
        <w:t>).</w:t>
      </w:r>
    </w:p>
    <w:p w:rsidR="00140E0A" w:rsidRPr="00140E0A" w:rsidRDefault="00140E0A" w:rsidP="00140E0A">
      <w:pPr>
        <w:pStyle w:val="Paragraphedeliste"/>
        <w:rPr>
          <w:sz w:val="26"/>
          <w:szCs w:val="26"/>
        </w:rPr>
      </w:pPr>
    </w:p>
    <w:p w:rsidR="00140E0A" w:rsidRDefault="00140E0A" w:rsidP="00140E0A">
      <w:pPr>
        <w:pStyle w:val="Paragraphedeliste"/>
        <w:numPr>
          <w:ilvl w:val="0"/>
          <w:numId w:val="7"/>
        </w:numPr>
        <w:spacing w:line="360" w:lineRule="auto"/>
        <w:rPr>
          <w:sz w:val="26"/>
          <w:szCs w:val="26"/>
        </w:rPr>
      </w:pPr>
      <w:r w:rsidRPr="00306B66">
        <w:rPr>
          <w:b/>
          <w:sz w:val="26"/>
          <w:szCs w:val="26"/>
          <w:lang w:val="en-US"/>
        </w:rPr>
        <w:t xml:space="preserve">David Fitzpatrick, </w:t>
      </w:r>
      <w:r w:rsidRPr="00306B66">
        <w:rPr>
          <w:b/>
          <w:i/>
          <w:sz w:val="26"/>
          <w:szCs w:val="26"/>
          <w:lang w:val="en-US"/>
        </w:rPr>
        <w:t>Oceans of Consolation.</w:t>
      </w:r>
      <w:r w:rsidR="00602C1A" w:rsidRPr="00306B66">
        <w:rPr>
          <w:b/>
          <w:sz w:val="26"/>
          <w:szCs w:val="26"/>
          <w:lang w:val="en-US"/>
        </w:rPr>
        <w:t xml:space="preserve"> </w:t>
      </w:r>
      <w:r w:rsidR="00602C1A" w:rsidRPr="00306B66">
        <w:rPr>
          <w:b/>
          <w:sz w:val="26"/>
          <w:szCs w:val="26"/>
        </w:rPr>
        <w:t>(1995)</w:t>
      </w:r>
      <w:r w:rsidR="005E4C87" w:rsidRPr="005E4C87">
        <w:rPr>
          <w:sz w:val="26"/>
          <w:szCs w:val="26"/>
        </w:rPr>
        <w:t xml:space="preserve"> Travail remarquable fondé sur u</w:t>
      </w:r>
      <w:r w:rsidR="005E4C87">
        <w:rPr>
          <w:sz w:val="26"/>
          <w:szCs w:val="26"/>
        </w:rPr>
        <w:t>n corpus de 111 lettres (sur un corpus estimé de 1 000 lettres)</w:t>
      </w:r>
      <w:r w:rsidR="00CC2ECF">
        <w:rPr>
          <w:sz w:val="26"/>
          <w:szCs w:val="26"/>
        </w:rPr>
        <w:t xml:space="preserve"> de 14 familles</w:t>
      </w:r>
      <w:r w:rsidR="005E4C87">
        <w:rPr>
          <w:sz w:val="26"/>
          <w:szCs w:val="26"/>
        </w:rPr>
        <w:t xml:space="preserve">. Originalité est que </w:t>
      </w:r>
      <w:proofErr w:type="spellStart"/>
      <w:r w:rsidR="005E4C87">
        <w:rPr>
          <w:sz w:val="26"/>
          <w:szCs w:val="26"/>
        </w:rPr>
        <w:t>Fitzpatrick</w:t>
      </w:r>
      <w:proofErr w:type="spellEnd"/>
      <w:r w:rsidR="005E4C87">
        <w:rPr>
          <w:sz w:val="26"/>
          <w:szCs w:val="26"/>
        </w:rPr>
        <w:t xml:space="preserve"> se refuse </w:t>
      </w:r>
      <w:r w:rsidR="00CC2ECF">
        <w:rPr>
          <w:sz w:val="26"/>
          <w:szCs w:val="26"/>
        </w:rPr>
        <w:t xml:space="preserve">à couper les lettres, les cite en entier et retrace l’histoire de chaque famille pour que le contexte historique de leur rédaction </w:t>
      </w:r>
      <w:r w:rsidR="00CC2ECF">
        <w:rPr>
          <w:sz w:val="26"/>
          <w:szCs w:val="26"/>
        </w:rPr>
        <w:lastRenderedPageBreak/>
        <w:t>soit le plus précis possible. Met en évidence l’absence d’évocation dans les lettres du thème de « l’exil forcé ».</w:t>
      </w:r>
    </w:p>
    <w:p w:rsidR="00306B66" w:rsidRPr="00306B66" w:rsidRDefault="00306B66" w:rsidP="00306B66">
      <w:pPr>
        <w:pStyle w:val="Paragraphedeliste"/>
        <w:rPr>
          <w:sz w:val="26"/>
          <w:szCs w:val="26"/>
        </w:rPr>
      </w:pPr>
    </w:p>
    <w:p w:rsidR="00306B66" w:rsidRPr="005E4C87" w:rsidRDefault="00306B66" w:rsidP="00306B66">
      <w:pPr>
        <w:pStyle w:val="Paragraphedeliste"/>
        <w:spacing w:line="360" w:lineRule="auto"/>
        <w:ind w:left="644"/>
        <w:rPr>
          <w:sz w:val="26"/>
          <w:szCs w:val="26"/>
        </w:rPr>
      </w:pPr>
    </w:p>
    <w:p w:rsidR="00897685" w:rsidRPr="00FE1B4B" w:rsidRDefault="00897685" w:rsidP="00AC5E4E">
      <w:pPr>
        <w:pStyle w:val="Titre2"/>
        <w:numPr>
          <w:ilvl w:val="0"/>
          <w:numId w:val="6"/>
        </w:numPr>
        <w:spacing w:line="360" w:lineRule="auto"/>
        <w:rPr>
          <w:u w:val="single"/>
        </w:rPr>
      </w:pPr>
      <w:r w:rsidRPr="00FE1B4B">
        <w:rPr>
          <w:u w:val="single"/>
        </w:rPr>
        <w:t>Quelles sources ?</w:t>
      </w:r>
    </w:p>
    <w:p w:rsidR="00897685" w:rsidRPr="001C7E5B" w:rsidRDefault="00897685" w:rsidP="001C7E5B">
      <w:pPr>
        <w:spacing w:line="360" w:lineRule="auto"/>
        <w:ind w:firstLine="284"/>
        <w:rPr>
          <w:sz w:val="26"/>
          <w:szCs w:val="26"/>
        </w:rPr>
      </w:pPr>
    </w:p>
    <w:p w:rsidR="00897685" w:rsidRPr="001C7E5B" w:rsidRDefault="00897685" w:rsidP="001C7E5B">
      <w:pPr>
        <w:spacing w:line="360" w:lineRule="auto"/>
        <w:ind w:firstLine="284"/>
        <w:rPr>
          <w:sz w:val="26"/>
          <w:szCs w:val="26"/>
        </w:rPr>
      </w:pPr>
      <w:r w:rsidRPr="001C7E5B">
        <w:rPr>
          <w:sz w:val="26"/>
          <w:szCs w:val="26"/>
        </w:rPr>
        <w:t>2 grands types :</w:t>
      </w:r>
    </w:p>
    <w:p w:rsidR="00897685" w:rsidRPr="00B94FEE" w:rsidRDefault="00B94FEE" w:rsidP="00B94FEE">
      <w:pPr>
        <w:pStyle w:val="Paragraphedeliste"/>
        <w:numPr>
          <w:ilvl w:val="0"/>
          <w:numId w:val="7"/>
        </w:numPr>
        <w:spacing w:line="360" w:lineRule="auto"/>
        <w:rPr>
          <w:sz w:val="26"/>
          <w:szCs w:val="26"/>
        </w:rPr>
      </w:pPr>
      <w:r w:rsidRPr="007720A9">
        <w:rPr>
          <w:sz w:val="26"/>
          <w:szCs w:val="26"/>
          <w:u w:val="single"/>
        </w:rPr>
        <w:t>Sources « quantitatives »</w:t>
      </w:r>
      <w:r w:rsidR="00897685" w:rsidRPr="00B94FEE">
        <w:rPr>
          <w:sz w:val="26"/>
          <w:szCs w:val="26"/>
        </w:rPr>
        <w:t xml:space="preserve"> (</w:t>
      </w:r>
      <w:r w:rsidRPr="00B94FEE">
        <w:rPr>
          <w:sz w:val="26"/>
          <w:szCs w:val="26"/>
        </w:rPr>
        <w:t>ce qui ne signifie pas « objectif »)</w:t>
      </w:r>
      <w:r w:rsidR="0003519D" w:rsidRPr="00B94FEE">
        <w:rPr>
          <w:sz w:val="26"/>
          <w:szCs w:val="26"/>
        </w:rPr>
        <w:t xml:space="preserve"> : dans le sillage de la quantitative </w:t>
      </w:r>
      <w:proofErr w:type="spellStart"/>
      <w:r w:rsidR="0003519D" w:rsidRPr="00B94FEE">
        <w:rPr>
          <w:sz w:val="26"/>
          <w:szCs w:val="26"/>
        </w:rPr>
        <w:t>history</w:t>
      </w:r>
      <w:proofErr w:type="spellEnd"/>
      <w:r w:rsidR="00BB00CF">
        <w:rPr>
          <w:sz w:val="26"/>
          <w:szCs w:val="26"/>
        </w:rPr>
        <w:t xml:space="preserve"> (</w:t>
      </w:r>
      <w:proofErr w:type="spellStart"/>
      <w:r w:rsidR="00BB00CF" w:rsidRPr="00BB00CF">
        <w:rPr>
          <w:i/>
          <w:sz w:val="26"/>
          <w:szCs w:val="26"/>
        </w:rPr>
        <w:t>cliometrics</w:t>
      </w:r>
      <w:proofErr w:type="spellEnd"/>
      <w:r w:rsidR="009613A6" w:rsidRPr="00B94FEE">
        <w:rPr>
          <w:sz w:val="26"/>
          <w:szCs w:val="26"/>
        </w:rPr>
        <w:t>)</w:t>
      </w:r>
      <w:r w:rsidR="0003519D" w:rsidRPr="00B94FEE">
        <w:rPr>
          <w:sz w:val="26"/>
          <w:szCs w:val="26"/>
        </w:rPr>
        <w:t xml:space="preserve">, le début des années 1980 est marqué par la computation et l’utilisation des recensements, listes de passagers, liste de pauvres recevant assistance financière etc. </w:t>
      </w:r>
      <w:r w:rsidRPr="00B94FEE">
        <w:rPr>
          <w:sz w:val="26"/>
          <w:szCs w:val="26"/>
        </w:rPr>
        <w:t>Permet de comptabiliser ampleur du phénomène, de dessiner les contours de l’occupation de l’espace urbain par nouveaux migrants dans pays d’accueil.</w:t>
      </w:r>
    </w:p>
    <w:p w:rsidR="00B94FEE" w:rsidRPr="001C7E5B" w:rsidRDefault="00B94FEE" w:rsidP="001C7E5B">
      <w:pPr>
        <w:spacing w:line="360" w:lineRule="auto"/>
        <w:ind w:firstLine="284"/>
        <w:rPr>
          <w:sz w:val="26"/>
          <w:szCs w:val="26"/>
        </w:rPr>
      </w:pPr>
    </w:p>
    <w:p w:rsidR="00400958" w:rsidRPr="00B94FEE" w:rsidRDefault="00B94FEE" w:rsidP="00B94FEE">
      <w:pPr>
        <w:pStyle w:val="Paragraphedeliste"/>
        <w:numPr>
          <w:ilvl w:val="0"/>
          <w:numId w:val="7"/>
        </w:numPr>
        <w:spacing w:line="360" w:lineRule="auto"/>
        <w:rPr>
          <w:sz w:val="26"/>
          <w:szCs w:val="26"/>
        </w:rPr>
      </w:pPr>
      <w:r w:rsidRPr="00306B66">
        <w:rPr>
          <w:sz w:val="26"/>
          <w:szCs w:val="26"/>
          <w:u w:val="single"/>
        </w:rPr>
        <w:t>Sources</w:t>
      </w:r>
      <w:r w:rsidR="007720A9" w:rsidRPr="00306B66">
        <w:rPr>
          <w:sz w:val="26"/>
          <w:szCs w:val="26"/>
          <w:u w:val="single"/>
        </w:rPr>
        <w:t xml:space="preserve"> « qualitatives »</w:t>
      </w:r>
      <w:r w:rsidR="007720A9">
        <w:rPr>
          <w:sz w:val="26"/>
          <w:szCs w:val="26"/>
        </w:rPr>
        <w:t xml:space="preserve"> : témoignages, écrits divers et </w:t>
      </w:r>
      <w:r w:rsidR="00897685" w:rsidRPr="00B94FEE">
        <w:rPr>
          <w:sz w:val="26"/>
          <w:szCs w:val="26"/>
        </w:rPr>
        <w:t xml:space="preserve">paroles. </w:t>
      </w:r>
      <w:r w:rsidR="0003519D" w:rsidRPr="00B94FEE">
        <w:rPr>
          <w:sz w:val="26"/>
          <w:szCs w:val="26"/>
        </w:rPr>
        <w:t xml:space="preserve">Comment redonner la parole aux « sans voix de l’histoire » ? </w:t>
      </w:r>
      <w:r w:rsidR="007720A9">
        <w:rPr>
          <w:sz w:val="26"/>
          <w:szCs w:val="26"/>
        </w:rPr>
        <w:t>De nombreux</w:t>
      </w:r>
      <w:r w:rsidR="0003519D" w:rsidRPr="00B94FEE">
        <w:rPr>
          <w:sz w:val="26"/>
          <w:szCs w:val="26"/>
        </w:rPr>
        <w:t xml:space="preserve"> migrants de la Famine sont analphabètes </w:t>
      </w:r>
      <w:r w:rsidR="002350BF" w:rsidRPr="00B94FEE">
        <w:rPr>
          <w:sz w:val="26"/>
          <w:szCs w:val="26"/>
        </w:rPr>
        <w:t xml:space="preserve">et </w:t>
      </w:r>
      <w:r w:rsidR="007720A9">
        <w:rPr>
          <w:sz w:val="26"/>
          <w:szCs w:val="26"/>
        </w:rPr>
        <w:t>lettres n’ont pas toujours survécu</w:t>
      </w:r>
      <w:r w:rsidR="002350BF" w:rsidRPr="00B94FEE">
        <w:rPr>
          <w:sz w:val="26"/>
          <w:szCs w:val="26"/>
        </w:rPr>
        <w:t xml:space="preserve">. Sources judiciaires : pendant les procès, on entend les immigrés prendre la parole (Arlette Farge). </w:t>
      </w:r>
      <w:r w:rsidR="007720A9">
        <w:rPr>
          <w:sz w:val="26"/>
          <w:szCs w:val="26"/>
        </w:rPr>
        <w:t xml:space="preserve">Ne pas penser que lettre d’un migrant = description objective de la situation. </w:t>
      </w:r>
      <w:r w:rsidR="00400958" w:rsidRPr="00B94FEE">
        <w:rPr>
          <w:sz w:val="26"/>
          <w:szCs w:val="26"/>
        </w:rPr>
        <w:t xml:space="preserve">Comme le rappelle David </w:t>
      </w:r>
      <w:proofErr w:type="spellStart"/>
      <w:r w:rsidR="00400958" w:rsidRPr="00B94FEE">
        <w:rPr>
          <w:sz w:val="26"/>
          <w:szCs w:val="26"/>
        </w:rPr>
        <w:t>Fitzpatrick</w:t>
      </w:r>
      <w:proofErr w:type="spellEnd"/>
      <w:r w:rsidR="00400958" w:rsidRPr="00B94FEE">
        <w:rPr>
          <w:sz w:val="26"/>
          <w:szCs w:val="26"/>
        </w:rPr>
        <w:t xml:space="preserve"> les lettres pouvaient être « instrumentalisées, déployant émotion et éloquence en vue de plusieurs objectifs ».</w:t>
      </w:r>
    </w:p>
    <w:p w:rsidR="00E364E3" w:rsidRDefault="00E364E3">
      <w:pPr>
        <w:jc w:val="left"/>
        <w:rPr>
          <w:rFonts w:asciiTheme="majorHAnsi" w:eastAsiaTheme="majorEastAsia" w:hAnsiTheme="majorHAnsi" w:cstheme="majorBidi"/>
          <w:color w:val="2E74B5" w:themeColor="accent1" w:themeShade="BF"/>
          <w:sz w:val="26"/>
          <w:szCs w:val="26"/>
        </w:rPr>
      </w:pPr>
      <w:r>
        <w:br w:type="page"/>
      </w:r>
    </w:p>
    <w:p w:rsidR="009B5395" w:rsidRPr="000D4952" w:rsidRDefault="00897685" w:rsidP="000D4952">
      <w:pPr>
        <w:pStyle w:val="Titre2"/>
        <w:numPr>
          <w:ilvl w:val="0"/>
          <w:numId w:val="6"/>
        </w:numPr>
        <w:spacing w:line="360" w:lineRule="auto"/>
        <w:rPr>
          <w:u w:val="single"/>
        </w:rPr>
      </w:pPr>
      <w:r w:rsidRPr="000D4952">
        <w:rPr>
          <w:u w:val="single"/>
        </w:rPr>
        <w:lastRenderedPageBreak/>
        <w:t>Visages du migrant irlandais</w:t>
      </w:r>
    </w:p>
    <w:p w:rsidR="00897685" w:rsidRPr="001C7E5B" w:rsidRDefault="00897685" w:rsidP="001C7E5B">
      <w:pPr>
        <w:spacing w:line="360" w:lineRule="auto"/>
        <w:ind w:firstLine="284"/>
        <w:rPr>
          <w:sz w:val="26"/>
          <w:szCs w:val="26"/>
        </w:rPr>
      </w:pPr>
    </w:p>
    <w:p w:rsidR="00E61D74" w:rsidRPr="001C7E5B" w:rsidRDefault="00897685" w:rsidP="001C7E5B">
      <w:pPr>
        <w:spacing w:line="360" w:lineRule="auto"/>
        <w:ind w:firstLine="284"/>
        <w:rPr>
          <w:sz w:val="26"/>
          <w:szCs w:val="26"/>
        </w:rPr>
      </w:pPr>
      <w:r w:rsidRPr="001C7E5B">
        <w:rPr>
          <w:sz w:val="26"/>
          <w:szCs w:val="26"/>
        </w:rPr>
        <w:t>Pour reprendre l’image de l’océan qui façonne le relief des côtes (soit ensablement, soit érosion maritime), l’image du migrant irlandais chez les historiens a beaucoup évolué depuis les années 1970.</w:t>
      </w:r>
    </w:p>
    <w:p w:rsidR="00FF24AD" w:rsidRPr="001C7E5B" w:rsidRDefault="00FF24AD" w:rsidP="001C7E5B">
      <w:pPr>
        <w:pStyle w:val="Paragraphedeliste"/>
        <w:numPr>
          <w:ilvl w:val="0"/>
          <w:numId w:val="5"/>
        </w:numPr>
        <w:spacing w:line="360" w:lineRule="auto"/>
        <w:rPr>
          <w:b/>
          <w:sz w:val="26"/>
          <w:szCs w:val="26"/>
        </w:rPr>
      </w:pPr>
      <w:r w:rsidRPr="001C7E5B">
        <w:rPr>
          <w:b/>
          <w:sz w:val="26"/>
          <w:szCs w:val="26"/>
        </w:rPr>
        <w:t>Le migrant pauvre</w:t>
      </w:r>
      <w:r w:rsidR="00ED44EB" w:rsidRPr="001C7E5B">
        <w:rPr>
          <w:b/>
          <w:sz w:val="26"/>
          <w:szCs w:val="26"/>
        </w:rPr>
        <w:t xml:space="preserve"> </w:t>
      </w:r>
    </w:p>
    <w:p w:rsidR="00ED44EB" w:rsidRPr="001C7E5B" w:rsidRDefault="00ED44EB" w:rsidP="001C7E5B">
      <w:pPr>
        <w:pStyle w:val="Paragraphedeliste"/>
        <w:spacing w:line="360" w:lineRule="auto"/>
        <w:ind w:left="644"/>
        <w:rPr>
          <w:sz w:val="26"/>
          <w:szCs w:val="26"/>
        </w:rPr>
      </w:pPr>
    </w:p>
    <w:p w:rsidR="00ED44EB" w:rsidRPr="00E44E55" w:rsidRDefault="00ED44EB" w:rsidP="00E44E55">
      <w:pPr>
        <w:pStyle w:val="Paragraphedeliste"/>
        <w:numPr>
          <w:ilvl w:val="0"/>
          <w:numId w:val="8"/>
        </w:numPr>
        <w:spacing w:line="360" w:lineRule="auto"/>
        <w:rPr>
          <w:sz w:val="26"/>
          <w:szCs w:val="26"/>
        </w:rPr>
      </w:pPr>
      <w:r w:rsidRPr="00E44E55">
        <w:rPr>
          <w:sz w:val="26"/>
          <w:szCs w:val="26"/>
        </w:rPr>
        <w:t xml:space="preserve">Au début des années 1980, ce qui ressort des ouvrages issus de la première grande vague sur </w:t>
      </w:r>
      <w:r w:rsidR="00E44E55">
        <w:rPr>
          <w:sz w:val="26"/>
          <w:szCs w:val="26"/>
        </w:rPr>
        <w:t>l’émigration</w:t>
      </w:r>
      <w:r w:rsidRPr="00E44E55">
        <w:rPr>
          <w:sz w:val="26"/>
          <w:szCs w:val="26"/>
        </w:rPr>
        <w:t xml:space="preserve"> irlandaise, et particulièrement dans les écrits qui s’intéressent à la péri</w:t>
      </w:r>
      <w:r w:rsidR="00A6560C" w:rsidRPr="00E44E55">
        <w:rPr>
          <w:sz w:val="26"/>
          <w:szCs w:val="26"/>
        </w:rPr>
        <w:t>ode de la Grande Famine fait écho à certains textes du 19</w:t>
      </w:r>
      <w:r w:rsidR="00A6560C" w:rsidRPr="00E44E55">
        <w:rPr>
          <w:sz w:val="26"/>
          <w:szCs w:val="26"/>
          <w:vertAlign w:val="superscript"/>
        </w:rPr>
        <w:t>e</w:t>
      </w:r>
      <w:r w:rsidR="00A6560C" w:rsidRPr="00E44E55">
        <w:rPr>
          <w:sz w:val="26"/>
          <w:szCs w:val="26"/>
        </w:rPr>
        <w:t xml:space="preserve"> siècle (rapports accompagnant les recensements, ouvrages d’enquête comme celui de Engels et de son étude de Manchester en 1844) et esquissent le portrait de migrants en haillons, habitant les quartiers les plus défavorisés des cités industrielles, accomplissant les tâches les plus basses et les plus ingrates, victimes des épidémies comme le choléra et le typhus. C’est l’Autre, le </w:t>
      </w:r>
      <w:proofErr w:type="spellStart"/>
      <w:r w:rsidR="00A6560C" w:rsidRPr="00E44E55">
        <w:rPr>
          <w:i/>
          <w:sz w:val="26"/>
          <w:szCs w:val="26"/>
        </w:rPr>
        <w:t>stranger</w:t>
      </w:r>
      <w:proofErr w:type="spellEnd"/>
      <w:r w:rsidR="00A6560C" w:rsidRPr="00E44E55">
        <w:rPr>
          <w:i/>
          <w:sz w:val="26"/>
          <w:szCs w:val="26"/>
        </w:rPr>
        <w:t xml:space="preserve"> in a </w:t>
      </w:r>
      <w:proofErr w:type="spellStart"/>
      <w:r w:rsidR="00A6560C" w:rsidRPr="00E44E55">
        <w:rPr>
          <w:i/>
          <w:sz w:val="26"/>
          <w:szCs w:val="26"/>
        </w:rPr>
        <w:t>strange</w:t>
      </w:r>
      <w:proofErr w:type="spellEnd"/>
      <w:r w:rsidR="00A6560C" w:rsidRPr="00E44E55">
        <w:rPr>
          <w:i/>
          <w:sz w:val="26"/>
          <w:szCs w:val="26"/>
        </w:rPr>
        <w:t xml:space="preserve"> land</w:t>
      </w:r>
      <w:r w:rsidR="00E44E55">
        <w:rPr>
          <w:sz w:val="26"/>
          <w:szCs w:val="26"/>
        </w:rPr>
        <w:t>, le marginal.</w:t>
      </w:r>
    </w:p>
    <w:p w:rsidR="00767EAB" w:rsidRPr="00306B66" w:rsidRDefault="00B36E73" w:rsidP="001979B0">
      <w:pPr>
        <w:pStyle w:val="Paragraphedeliste"/>
        <w:numPr>
          <w:ilvl w:val="0"/>
          <w:numId w:val="8"/>
        </w:numPr>
        <w:spacing w:line="360" w:lineRule="auto"/>
        <w:rPr>
          <w:sz w:val="26"/>
          <w:szCs w:val="26"/>
        </w:rPr>
      </w:pPr>
      <w:r w:rsidRPr="00767EAB">
        <w:rPr>
          <w:sz w:val="26"/>
          <w:szCs w:val="26"/>
        </w:rPr>
        <w:t xml:space="preserve">Portrait à nuancer suivant les destinations : les moins fortunés se rendent au RU et au Canada (voyages moins onéreux), les plus « aisés » se dirigent vers les US. </w:t>
      </w:r>
      <w:r w:rsidR="00767EAB" w:rsidRPr="00767EAB">
        <w:rPr>
          <w:sz w:val="26"/>
          <w:szCs w:val="26"/>
        </w:rPr>
        <w:t xml:space="preserve">Pendant l’ère de la GF, les listes de passagers pour New York indiquent qu’il y a </w:t>
      </w:r>
      <w:proofErr w:type="spellStart"/>
      <w:r w:rsidR="00767EAB" w:rsidRPr="00767EAB">
        <w:rPr>
          <w:sz w:val="26"/>
          <w:szCs w:val="26"/>
        </w:rPr>
        <w:t>tjs</w:t>
      </w:r>
      <w:proofErr w:type="spellEnd"/>
      <w:r w:rsidR="00767EAB" w:rsidRPr="00767EAB">
        <w:rPr>
          <w:sz w:val="26"/>
          <w:szCs w:val="26"/>
        </w:rPr>
        <w:t xml:space="preserve"> une proportion non négligeable d’artisans et de fermiers + aisés. </w:t>
      </w:r>
    </w:p>
    <w:p w:rsidR="00767EAB" w:rsidRPr="00767EAB" w:rsidRDefault="00767EAB" w:rsidP="00767EAB">
      <w:pPr>
        <w:pStyle w:val="Paragraphedeliste"/>
        <w:numPr>
          <w:ilvl w:val="0"/>
          <w:numId w:val="8"/>
        </w:numPr>
        <w:spacing w:line="360" w:lineRule="auto"/>
        <w:rPr>
          <w:sz w:val="26"/>
          <w:szCs w:val="26"/>
        </w:rPr>
      </w:pPr>
      <w:r w:rsidRPr="00767EAB">
        <w:rPr>
          <w:sz w:val="26"/>
          <w:szCs w:val="26"/>
        </w:rPr>
        <w:t xml:space="preserve">Dans les dix dernières années, certains historiens ont mis en évidence des stratégies migratoires qui vont à l’encontre de l’image d’exilés forces: entre 1847 et 1849, environ 5000 Irlandais parviennent à se faire financer une partie du voyage transatlantique par les </w:t>
      </w:r>
      <w:proofErr w:type="spellStart"/>
      <w:r w:rsidRPr="00BB00CF">
        <w:rPr>
          <w:i/>
          <w:sz w:val="26"/>
          <w:szCs w:val="26"/>
        </w:rPr>
        <w:t>poor</w:t>
      </w:r>
      <w:proofErr w:type="spellEnd"/>
      <w:r w:rsidRPr="00BB00CF">
        <w:rPr>
          <w:i/>
          <w:sz w:val="26"/>
          <w:szCs w:val="26"/>
        </w:rPr>
        <w:t xml:space="preserve"> </w:t>
      </w:r>
      <w:proofErr w:type="spellStart"/>
      <w:r w:rsidRPr="00BB00CF">
        <w:rPr>
          <w:i/>
          <w:sz w:val="26"/>
          <w:szCs w:val="26"/>
        </w:rPr>
        <w:t>law</w:t>
      </w:r>
      <w:proofErr w:type="spellEnd"/>
      <w:r w:rsidRPr="00BB00CF">
        <w:rPr>
          <w:i/>
          <w:sz w:val="26"/>
          <w:szCs w:val="26"/>
        </w:rPr>
        <w:t xml:space="preserve"> </w:t>
      </w:r>
      <w:proofErr w:type="spellStart"/>
      <w:r w:rsidRPr="00BB00CF">
        <w:rPr>
          <w:i/>
          <w:sz w:val="26"/>
          <w:szCs w:val="26"/>
        </w:rPr>
        <w:t>guardians</w:t>
      </w:r>
      <w:proofErr w:type="spellEnd"/>
      <w:r w:rsidRPr="00767EAB">
        <w:rPr>
          <w:sz w:val="26"/>
          <w:szCs w:val="26"/>
        </w:rPr>
        <w:t xml:space="preserve"> (en v</w:t>
      </w:r>
      <w:r>
        <w:rPr>
          <w:sz w:val="26"/>
          <w:szCs w:val="26"/>
        </w:rPr>
        <w:t>ertu des amendements apportés à la Poor Law en 1847).</w:t>
      </w:r>
    </w:p>
    <w:p w:rsidR="00783C71" w:rsidRPr="00767EAB" w:rsidRDefault="00767EAB" w:rsidP="00767EAB">
      <w:pPr>
        <w:pStyle w:val="Paragraphedeliste"/>
        <w:spacing w:line="360" w:lineRule="auto"/>
        <w:rPr>
          <w:sz w:val="26"/>
          <w:szCs w:val="26"/>
        </w:rPr>
      </w:pPr>
      <w:r w:rsidRPr="00767EAB">
        <w:rPr>
          <w:sz w:val="26"/>
          <w:szCs w:val="26"/>
        </w:rPr>
        <w:t xml:space="preserve"> </w:t>
      </w:r>
    </w:p>
    <w:p w:rsidR="00783C71" w:rsidRPr="001C7E5B" w:rsidRDefault="003A2E8D" w:rsidP="001C7E5B">
      <w:pPr>
        <w:pStyle w:val="Paragraphedeliste"/>
        <w:numPr>
          <w:ilvl w:val="0"/>
          <w:numId w:val="5"/>
        </w:numPr>
        <w:spacing w:line="360" w:lineRule="auto"/>
        <w:rPr>
          <w:sz w:val="26"/>
          <w:szCs w:val="26"/>
        </w:rPr>
      </w:pPr>
      <w:r>
        <w:rPr>
          <w:b/>
          <w:sz w:val="26"/>
          <w:szCs w:val="26"/>
        </w:rPr>
        <w:t>Le migrant catholique</w:t>
      </w:r>
    </w:p>
    <w:p w:rsidR="00B7715D" w:rsidRPr="001C7E5B" w:rsidRDefault="00B7715D" w:rsidP="001C7E5B">
      <w:pPr>
        <w:pStyle w:val="Paragraphedeliste"/>
        <w:spacing w:line="360" w:lineRule="auto"/>
        <w:ind w:left="644"/>
        <w:rPr>
          <w:b/>
          <w:sz w:val="26"/>
          <w:szCs w:val="26"/>
        </w:rPr>
      </w:pPr>
    </w:p>
    <w:p w:rsidR="00767EAB" w:rsidRPr="00767EAB" w:rsidRDefault="00767EAB" w:rsidP="00767EAB">
      <w:pPr>
        <w:pStyle w:val="Paragraphedeliste"/>
        <w:numPr>
          <w:ilvl w:val="0"/>
          <w:numId w:val="8"/>
        </w:numPr>
        <w:spacing w:line="360" w:lineRule="auto"/>
        <w:rPr>
          <w:sz w:val="26"/>
          <w:szCs w:val="26"/>
        </w:rPr>
      </w:pPr>
      <w:r w:rsidRPr="00767EAB">
        <w:rPr>
          <w:sz w:val="26"/>
          <w:szCs w:val="26"/>
        </w:rPr>
        <w:t>A l’image d’un Paddy catholique qu</w:t>
      </w:r>
      <w:r>
        <w:rPr>
          <w:sz w:val="26"/>
          <w:szCs w:val="26"/>
        </w:rPr>
        <w:t xml:space="preserve">ittant les vertes collines de son île natale s’est substituée celle(s) de la pluralité confessionnelle des migrants. </w:t>
      </w:r>
    </w:p>
    <w:p w:rsidR="001E0E8C" w:rsidRDefault="00767EAB" w:rsidP="001E0E8C">
      <w:pPr>
        <w:pStyle w:val="Paragraphedeliste"/>
        <w:numPr>
          <w:ilvl w:val="0"/>
          <w:numId w:val="8"/>
        </w:numPr>
        <w:spacing w:line="360" w:lineRule="auto"/>
        <w:rPr>
          <w:sz w:val="26"/>
          <w:szCs w:val="26"/>
        </w:rPr>
      </w:pPr>
      <w:r w:rsidRPr="001E0E8C">
        <w:rPr>
          <w:sz w:val="26"/>
          <w:szCs w:val="26"/>
        </w:rPr>
        <w:lastRenderedPageBreak/>
        <w:t xml:space="preserve">Pour l’Amérique du Nord, c’est ce que </w:t>
      </w:r>
      <w:r w:rsidR="002E4A1B" w:rsidRPr="001E0E8C">
        <w:rPr>
          <w:sz w:val="26"/>
          <w:szCs w:val="26"/>
        </w:rPr>
        <w:t xml:space="preserve">Donald </w:t>
      </w:r>
      <w:proofErr w:type="spellStart"/>
      <w:r w:rsidR="002E4A1B" w:rsidRPr="001E0E8C">
        <w:rPr>
          <w:sz w:val="26"/>
          <w:szCs w:val="26"/>
        </w:rPr>
        <w:t>Akenson</w:t>
      </w:r>
      <w:proofErr w:type="spellEnd"/>
      <w:r w:rsidRPr="001E0E8C">
        <w:rPr>
          <w:sz w:val="26"/>
          <w:szCs w:val="26"/>
        </w:rPr>
        <w:t xml:space="preserve"> défend dans son livre</w:t>
      </w:r>
      <w:r w:rsidR="002E4A1B" w:rsidRPr="001E0E8C">
        <w:rPr>
          <w:sz w:val="26"/>
          <w:szCs w:val="26"/>
        </w:rPr>
        <w:t xml:space="preserve"> </w:t>
      </w:r>
      <w:r w:rsidR="001E0E8C" w:rsidRPr="001E0E8C">
        <w:rPr>
          <w:i/>
          <w:sz w:val="26"/>
          <w:szCs w:val="26"/>
        </w:rPr>
        <w:t xml:space="preserve">Small </w:t>
      </w:r>
      <w:proofErr w:type="spellStart"/>
      <w:r w:rsidR="001E0E8C" w:rsidRPr="001E0E8C">
        <w:rPr>
          <w:i/>
          <w:sz w:val="26"/>
          <w:szCs w:val="26"/>
        </w:rPr>
        <w:t>Differences</w:t>
      </w:r>
      <w:proofErr w:type="spellEnd"/>
      <w:r w:rsidR="001E0E8C" w:rsidRPr="001E0E8C">
        <w:rPr>
          <w:i/>
          <w:sz w:val="26"/>
          <w:szCs w:val="26"/>
        </w:rPr>
        <w:t xml:space="preserve"> : Irish </w:t>
      </w:r>
      <w:proofErr w:type="spellStart"/>
      <w:r w:rsidR="001E0E8C" w:rsidRPr="001E0E8C">
        <w:rPr>
          <w:i/>
          <w:sz w:val="26"/>
          <w:szCs w:val="26"/>
        </w:rPr>
        <w:t>Catholics</w:t>
      </w:r>
      <w:proofErr w:type="spellEnd"/>
      <w:r w:rsidR="001E0E8C" w:rsidRPr="001E0E8C">
        <w:rPr>
          <w:i/>
          <w:sz w:val="26"/>
          <w:szCs w:val="26"/>
        </w:rPr>
        <w:t xml:space="preserve"> and Irish Protestants, 1815-1922 : an International Perspective</w:t>
      </w:r>
      <w:r w:rsidR="001E0E8C">
        <w:rPr>
          <w:sz w:val="26"/>
          <w:szCs w:val="26"/>
        </w:rPr>
        <w:t xml:space="preserve"> (McGill, 1988). Similarité des profils socioprofessionnels des Irlandais catholiques et protestants et réactions des sociétés d’accueil (tend à prouver qu’il existerait une </w:t>
      </w:r>
      <w:proofErr w:type="spellStart"/>
      <w:r w:rsidR="001E0E8C">
        <w:rPr>
          <w:sz w:val="26"/>
          <w:szCs w:val="26"/>
        </w:rPr>
        <w:t>Irishness</w:t>
      </w:r>
      <w:proofErr w:type="spellEnd"/>
      <w:r w:rsidR="001E0E8C">
        <w:rPr>
          <w:sz w:val="26"/>
          <w:szCs w:val="26"/>
        </w:rPr>
        <w:t xml:space="preserve"> non confessionnelle) ?</w:t>
      </w:r>
    </w:p>
    <w:p w:rsidR="0001039F" w:rsidRPr="001C7E5B" w:rsidRDefault="0001039F" w:rsidP="001C7E5B">
      <w:pPr>
        <w:pStyle w:val="Paragraphedeliste"/>
        <w:spacing w:line="360" w:lineRule="auto"/>
        <w:ind w:left="644"/>
        <w:rPr>
          <w:sz w:val="26"/>
          <w:szCs w:val="26"/>
        </w:rPr>
      </w:pPr>
    </w:p>
    <w:p w:rsidR="00B7715D" w:rsidRPr="00A23895" w:rsidRDefault="003A2E8D" w:rsidP="001C7E5B">
      <w:pPr>
        <w:pStyle w:val="Paragraphedeliste"/>
        <w:numPr>
          <w:ilvl w:val="0"/>
          <w:numId w:val="5"/>
        </w:numPr>
        <w:spacing w:line="360" w:lineRule="auto"/>
        <w:rPr>
          <w:sz w:val="26"/>
          <w:szCs w:val="26"/>
        </w:rPr>
      </w:pPr>
      <w:r>
        <w:rPr>
          <w:b/>
          <w:sz w:val="26"/>
          <w:szCs w:val="26"/>
        </w:rPr>
        <w:t>La question générationnelle</w:t>
      </w:r>
    </w:p>
    <w:p w:rsidR="00A23895" w:rsidRPr="001C7E5B" w:rsidRDefault="00A23895" w:rsidP="00A23895">
      <w:pPr>
        <w:pStyle w:val="Paragraphedeliste"/>
        <w:spacing w:line="360" w:lineRule="auto"/>
        <w:ind w:left="644"/>
        <w:rPr>
          <w:sz w:val="26"/>
          <w:szCs w:val="26"/>
        </w:rPr>
      </w:pPr>
    </w:p>
    <w:p w:rsidR="00A23895" w:rsidRDefault="00A23895" w:rsidP="00A23895">
      <w:pPr>
        <w:pStyle w:val="Paragraphedeliste"/>
        <w:numPr>
          <w:ilvl w:val="0"/>
          <w:numId w:val="8"/>
        </w:numPr>
        <w:spacing w:line="360" w:lineRule="auto"/>
        <w:rPr>
          <w:sz w:val="26"/>
          <w:szCs w:val="26"/>
        </w:rPr>
      </w:pPr>
      <w:r>
        <w:rPr>
          <w:sz w:val="26"/>
          <w:szCs w:val="26"/>
        </w:rPr>
        <w:t xml:space="preserve">Comme il existe </w:t>
      </w:r>
      <w:r w:rsidR="009F501E" w:rsidRPr="00A23895">
        <w:rPr>
          <w:sz w:val="26"/>
          <w:szCs w:val="26"/>
        </w:rPr>
        <w:t>émigration pré-GF = quand Irlandais arrivent en 1845, networks et des possibilités d’accueil.</w:t>
      </w:r>
    </w:p>
    <w:p w:rsidR="00A23895" w:rsidRDefault="00A23895" w:rsidP="00A23895">
      <w:pPr>
        <w:pStyle w:val="Paragraphedeliste"/>
        <w:numPr>
          <w:ilvl w:val="0"/>
          <w:numId w:val="8"/>
        </w:numPr>
        <w:spacing w:line="360" w:lineRule="auto"/>
        <w:rPr>
          <w:sz w:val="26"/>
          <w:szCs w:val="26"/>
        </w:rPr>
      </w:pPr>
      <w:r>
        <w:rPr>
          <w:sz w:val="26"/>
          <w:szCs w:val="26"/>
        </w:rPr>
        <w:t xml:space="preserve">Vitalité des sociabilités religieuses : </w:t>
      </w:r>
      <w:proofErr w:type="spellStart"/>
      <w:r>
        <w:rPr>
          <w:sz w:val="26"/>
          <w:szCs w:val="26"/>
        </w:rPr>
        <w:t>friendly</w:t>
      </w:r>
      <w:proofErr w:type="spellEnd"/>
      <w:r>
        <w:rPr>
          <w:sz w:val="26"/>
          <w:szCs w:val="26"/>
        </w:rPr>
        <w:t xml:space="preserve"> </w:t>
      </w:r>
      <w:proofErr w:type="spellStart"/>
      <w:r>
        <w:rPr>
          <w:sz w:val="26"/>
          <w:szCs w:val="26"/>
        </w:rPr>
        <w:t>societies</w:t>
      </w:r>
      <w:proofErr w:type="spellEnd"/>
      <w:r>
        <w:rPr>
          <w:sz w:val="26"/>
          <w:szCs w:val="26"/>
        </w:rPr>
        <w:t xml:space="preserve"> cléricales et hors de l’Eglise catholique, vitalité de l’Ordre d’Orange (Canada, Australie, Grande-Bretagne)</w:t>
      </w:r>
    </w:p>
    <w:p w:rsidR="00B82424" w:rsidRPr="00A23895" w:rsidRDefault="009F501E" w:rsidP="00A23895">
      <w:pPr>
        <w:pStyle w:val="Paragraphedeliste"/>
        <w:spacing w:line="360" w:lineRule="auto"/>
        <w:rPr>
          <w:sz w:val="26"/>
          <w:szCs w:val="26"/>
        </w:rPr>
      </w:pPr>
      <w:r w:rsidRPr="00A23895">
        <w:rPr>
          <w:sz w:val="26"/>
          <w:szCs w:val="26"/>
        </w:rPr>
        <w:t xml:space="preserve"> </w:t>
      </w:r>
    </w:p>
    <w:p w:rsidR="00B82424" w:rsidRDefault="003A2E8D" w:rsidP="001C7E5B">
      <w:pPr>
        <w:pStyle w:val="Paragraphedeliste"/>
        <w:numPr>
          <w:ilvl w:val="0"/>
          <w:numId w:val="5"/>
        </w:numPr>
        <w:spacing w:line="360" w:lineRule="auto"/>
        <w:rPr>
          <w:b/>
          <w:sz w:val="26"/>
          <w:szCs w:val="26"/>
        </w:rPr>
      </w:pPr>
      <w:r>
        <w:rPr>
          <w:b/>
          <w:sz w:val="26"/>
          <w:szCs w:val="26"/>
        </w:rPr>
        <w:t>Les femmes</w:t>
      </w:r>
    </w:p>
    <w:p w:rsidR="00A23895" w:rsidRDefault="00A23895" w:rsidP="00A23895">
      <w:pPr>
        <w:pStyle w:val="Paragraphedeliste"/>
        <w:spacing w:line="360" w:lineRule="auto"/>
        <w:ind w:left="644"/>
        <w:rPr>
          <w:b/>
          <w:sz w:val="26"/>
          <w:szCs w:val="26"/>
        </w:rPr>
      </w:pPr>
    </w:p>
    <w:p w:rsidR="00EB366D" w:rsidRPr="00A23895" w:rsidRDefault="00EB366D" w:rsidP="00A23895">
      <w:pPr>
        <w:pStyle w:val="Paragraphedeliste"/>
        <w:numPr>
          <w:ilvl w:val="0"/>
          <w:numId w:val="8"/>
        </w:numPr>
        <w:spacing w:line="360" w:lineRule="auto"/>
        <w:rPr>
          <w:sz w:val="26"/>
          <w:szCs w:val="26"/>
        </w:rPr>
      </w:pPr>
      <w:r w:rsidRPr="00A23895">
        <w:rPr>
          <w:sz w:val="26"/>
          <w:szCs w:val="26"/>
        </w:rPr>
        <w:t xml:space="preserve">La GF vient quelque peu infléchir le profil des migrants. Augmentation du nombre de femmes </w:t>
      </w:r>
      <w:r w:rsidR="003B1B17" w:rsidRPr="00A23895">
        <w:rPr>
          <w:sz w:val="26"/>
          <w:szCs w:val="26"/>
        </w:rPr>
        <w:t>célibataires venant des comtés de l’ouest et du sud-ouest. Reflet du changement induit par la GF dans la structure sociale (élimination de la toute petite paysannerie)</w:t>
      </w:r>
    </w:p>
    <w:p w:rsidR="008415B1" w:rsidRPr="001C7E5B" w:rsidRDefault="008415B1" w:rsidP="001C7E5B">
      <w:pPr>
        <w:pStyle w:val="Paragraphedeliste"/>
        <w:spacing w:line="360" w:lineRule="auto"/>
        <w:ind w:left="644"/>
        <w:rPr>
          <w:b/>
          <w:sz w:val="26"/>
          <w:szCs w:val="26"/>
        </w:rPr>
      </w:pPr>
    </w:p>
    <w:p w:rsidR="0001039F" w:rsidRPr="001C7E5B" w:rsidRDefault="0001039F" w:rsidP="001C7E5B">
      <w:pPr>
        <w:pStyle w:val="Paragraphedeliste"/>
        <w:numPr>
          <w:ilvl w:val="0"/>
          <w:numId w:val="5"/>
        </w:numPr>
        <w:spacing w:line="360" w:lineRule="auto"/>
        <w:rPr>
          <w:b/>
          <w:sz w:val="26"/>
          <w:szCs w:val="26"/>
        </w:rPr>
      </w:pPr>
      <w:r w:rsidRPr="001C7E5B">
        <w:rPr>
          <w:b/>
          <w:sz w:val="26"/>
          <w:szCs w:val="26"/>
        </w:rPr>
        <w:t>Tous globaux ?</w:t>
      </w:r>
    </w:p>
    <w:p w:rsidR="00A23895" w:rsidRPr="00E70C52" w:rsidRDefault="00A23895" w:rsidP="00A23895">
      <w:pPr>
        <w:pStyle w:val="Paragraphedeliste"/>
        <w:numPr>
          <w:ilvl w:val="0"/>
          <w:numId w:val="8"/>
        </w:numPr>
        <w:spacing w:line="360" w:lineRule="auto"/>
        <w:rPr>
          <w:sz w:val="26"/>
          <w:szCs w:val="26"/>
        </w:rPr>
      </w:pPr>
      <w:r>
        <w:rPr>
          <w:sz w:val="26"/>
          <w:szCs w:val="26"/>
        </w:rPr>
        <w:t xml:space="preserve">Apports de l’historiographie dans 15-20 dernières années : perspective comparatiste. C’était le projet de Patrick </w:t>
      </w:r>
      <w:proofErr w:type="spellStart"/>
      <w:r>
        <w:rPr>
          <w:sz w:val="26"/>
          <w:szCs w:val="26"/>
        </w:rPr>
        <w:t>O’Sullivan</w:t>
      </w:r>
      <w:proofErr w:type="spellEnd"/>
      <w:r w:rsidR="00E70C52">
        <w:rPr>
          <w:sz w:val="26"/>
          <w:szCs w:val="26"/>
        </w:rPr>
        <w:t xml:space="preserve"> avec 6 volumes </w:t>
      </w:r>
      <w:r w:rsidR="00E70C52">
        <w:rPr>
          <w:i/>
          <w:sz w:val="26"/>
          <w:szCs w:val="26"/>
        </w:rPr>
        <w:t>The Irish World Wide</w:t>
      </w:r>
    </w:p>
    <w:p w:rsidR="00E70C52" w:rsidRPr="00BB00CF" w:rsidRDefault="00E70C52" w:rsidP="00A23895">
      <w:pPr>
        <w:pStyle w:val="Paragraphedeliste"/>
        <w:numPr>
          <w:ilvl w:val="0"/>
          <w:numId w:val="8"/>
        </w:numPr>
        <w:spacing w:line="360" w:lineRule="auto"/>
        <w:rPr>
          <w:sz w:val="26"/>
          <w:szCs w:val="26"/>
        </w:rPr>
      </w:pPr>
      <w:r w:rsidRPr="00BB00CF">
        <w:rPr>
          <w:sz w:val="26"/>
          <w:szCs w:val="26"/>
          <w:lang w:val="en-US"/>
        </w:rPr>
        <w:t xml:space="preserve">O’SULLIVAN, Patrick. </w:t>
      </w:r>
      <w:r w:rsidRPr="00BB00CF">
        <w:rPr>
          <w:i/>
          <w:iCs/>
          <w:sz w:val="26"/>
          <w:szCs w:val="26"/>
          <w:lang w:val="en-US"/>
        </w:rPr>
        <w:t>The Irish World Wide. History, Heritage, Identity. Vol. VI : The Meaning of the Famine</w:t>
      </w:r>
      <w:r w:rsidRPr="00BB00CF">
        <w:rPr>
          <w:sz w:val="26"/>
          <w:szCs w:val="26"/>
          <w:lang w:val="en-US"/>
        </w:rPr>
        <w:t xml:space="preserve">. </w:t>
      </w:r>
      <w:proofErr w:type="spellStart"/>
      <w:r w:rsidRPr="00BB00CF">
        <w:rPr>
          <w:sz w:val="26"/>
          <w:szCs w:val="26"/>
          <w:lang w:val="en-US"/>
        </w:rPr>
        <w:t>Londres</w:t>
      </w:r>
      <w:proofErr w:type="spellEnd"/>
      <w:r w:rsidRPr="00BB00CF">
        <w:rPr>
          <w:sz w:val="26"/>
          <w:szCs w:val="26"/>
          <w:lang w:val="en-US"/>
        </w:rPr>
        <w:t> : Leicester University Press, 1997.</w:t>
      </w:r>
    </w:p>
    <w:p w:rsidR="00E70C52" w:rsidRPr="00BB00CF" w:rsidRDefault="00E70C52" w:rsidP="00E70C52">
      <w:pPr>
        <w:pStyle w:val="Paragraphedeliste"/>
        <w:spacing w:line="360" w:lineRule="auto"/>
        <w:rPr>
          <w:sz w:val="26"/>
          <w:szCs w:val="26"/>
        </w:rPr>
      </w:pPr>
      <w:r w:rsidRPr="00BB00CF">
        <w:rPr>
          <w:sz w:val="26"/>
          <w:szCs w:val="26"/>
        </w:rPr>
        <w:t xml:space="preserve">Andy </w:t>
      </w:r>
      <w:proofErr w:type="spellStart"/>
      <w:r w:rsidRPr="00BB00CF">
        <w:rPr>
          <w:sz w:val="26"/>
          <w:szCs w:val="26"/>
        </w:rPr>
        <w:t>Bielenberg</w:t>
      </w:r>
      <w:proofErr w:type="spellEnd"/>
      <w:r w:rsidRPr="00BB00CF">
        <w:rPr>
          <w:sz w:val="26"/>
          <w:szCs w:val="26"/>
        </w:rPr>
        <w:t xml:space="preserve"> </w:t>
      </w:r>
      <w:r w:rsidRPr="00BB00CF">
        <w:rPr>
          <w:i/>
          <w:sz w:val="26"/>
          <w:szCs w:val="26"/>
        </w:rPr>
        <w:t xml:space="preserve">The Irish Diaspora </w:t>
      </w:r>
      <w:r w:rsidRPr="00BB00CF">
        <w:rPr>
          <w:sz w:val="26"/>
          <w:szCs w:val="26"/>
        </w:rPr>
        <w:t>(2000): montre impact émigration dans d’autres zones moins étudiées : l’Amérique latine (Argentine en particulier).</w:t>
      </w:r>
    </w:p>
    <w:p w:rsidR="00ED5413" w:rsidRPr="00E70C52" w:rsidRDefault="00ED5413" w:rsidP="001C7E5B">
      <w:pPr>
        <w:spacing w:line="360" w:lineRule="auto"/>
        <w:ind w:firstLine="284"/>
        <w:rPr>
          <w:sz w:val="26"/>
          <w:szCs w:val="26"/>
        </w:rPr>
      </w:pPr>
    </w:p>
    <w:p w:rsidR="00E70C52" w:rsidRPr="00E70C52" w:rsidRDefault="00E70C52">
      <w:pPr>
        <w:jc w:val="left"/>
        <w:rPr>
          <w:sz w:val="26"/>
          <w:szCs w:val="26"/>
        </w:rPr>
      </w:pPr>
      <w:r w:rsidRPr="00E70C52">
        <w:rPr>
          <w:sz w:val="26"/>
          <w:szCs w:val="26"/>
        </w:rPr>
        <w:br w:type="page"/>
      </w:r>
    </w:p>
    <w:p w:rsidR="00E61D74" w:rsidRPr="00E70C52" w:rsidRDefault="00E61D74" w:rsidP="001C7E5B">
      <w:pPr>
        <w:spacing w:line="360" w:lineRule="auto"/>
        <w:ind w:firstLine="284"/>
        <w:rPr>
          <w:sz w:val="26"/>
          <w:szCs w:val="26"/>
        </w:rPr>
      </w:pPr>
    </w:p>
    <w:p w:rsidR="003F6DA6" w:rsidRPr="001C7E5B" w:rsidRDefault="002448CC" w:rsidP="001C7E5B">
      <w:pPr>
        <w:pStyle w:val="Titre2"/>
        <w:spacing w:line="360" w:lineRule="auto"/>
        <w:ind w:firstLine="284"/>
      </w:pPr>
      <w:r w:rsidRPr="001C7E5B">
        <w:t>Conclusion</w:t>
      </w:r>
    </w:p>
    <w:p w:rsidR="002448CC" w:rsidRPr="001C7E5B" w:rsidRDefault="002448CC" w:rsidP="001C7E5B">
      <w:pPr>
        <w:spacing w:line="360" w:lineRule="auto"/>
        <w:rPr>
          <w:sz w:val="26"/>
          <w:szCs w:val="26"/>
        </w:rPr>
      </w:pPr>
    </w:p>
    <w:p w:rsidR="00CD33A3" w:rsidRPr="00CD33A3" w:rsidRDefault="00CD33A3" w:rsidP="00CD33A3">
      <w:pPr>
        <w:pStyle w:val="Paragraphedeliste"/>
        <w:numPr>
          <w:ilvl w:val="0"/>
          <w:numId w:val="5"/>
        </w:numPr>
        <w:spacing w:line="360" w:lineRule="auto"/>
        <w:rPr>
          <w:sz w:val="26"/>
          <w:szCs w:val="26"/>
        </w:rPr>
      </w:pPr>
      <w:r w:rsidRPr="00CD33A3">
        <w:rPr>
          <w:sz w:val="26"/>
          <w:szCs w:val="26"/>
        </w:rPr>
        <w:t xml:space="preserve">Après cette brève traversée de l’océan historiographique, il ressort que le migrant irlandais de l’ère de la Famine a changé de visage. D’un homme prolétaire célibataire, catholique et rejeté, le migrant s’est pluralisé, féminisé, </w:t>
      </w:r>
      <w:proofErr w:type="spellStart"/>
      <w:r w:rsidRPr="00CD33A3">
        <w:rPr>
          <w:sz w:val="26"/>
          <w:szCs w:val="26"/>
        </w:rPr>
        <w:t>protestantisé</w:t>
      </w:r>
      <w:proofErr w:type="spellEnd"/>
      <w:r w:rsidRPr="00CD33A3">
        <w:rPr>
          <w:sz w:val="26"/>
          <w:szCs w:val="26"/>
        </w:rPr>
        <w:t xml:space="preserve"> et intégré !</w:t>
      </w:r>
    </w:p>
    <w:p w:rsidR="007D491A" w:rsidRDefault="007D491A" w:rsidP="00BB00CF">
      <w:pPr>
        <w:pStyle w:val="Paragraphedeliste"/>
        <w:numPr>
          <w:ilvl w:val="0"/>
          <w:numId w:val="5"/>
        </w:numPr>
        <w:spacing w:line="360" w:lineRule="auto"/>
        <w:rPr>
          <w:sz w:val="26"/>
          <w:szCs w:val="26"/>
        </w:rPr>
      </w:pPr>
      <w:r>
        <w:rPr>
          <w:sz w:val="26"/>
          <w:szCs w:val="26"/>
        </w:rPr>
        <w:t xml:space="preserve">Infinie variété des visages des migrants est aussi tout simplement le reflet de la diversité sociale de la société de départ. Migration change la donne pour ceux qui partent (s’intégrer ou non à une nouvelle </w:t>
      </w:r>
      <w:proofErr w:type="spellStart"/>
      <w:r>
        <w:rPr>
          <w:sz w:val="26"/>
          <w:szCs w:val="26"/>
        </w:rPr>
        <w:t>sté</w:t>
      </w:r>
      <w:proofErr w:type="spellEnd"/>
      <w:r>
        <w:rPr>
          <w:sz w:val="26"/>
          <w:szCs w:val="26"/>
        </w:rPr>
        <w:t xml:space="preserve">) mais aussi pour ceux qui restent, (c’est un </w:t>
      </w:r>
      <w:proofErr w:type="spellStart"/>
      <w:r>
        <w:rPr>
          <w:sz w:val="26"/>
          <w:szCs w:val="26"/>
        </w:rPr>
        <w:t>safety</w:t>
      </w:r>
      <w:proofErr w:type="spellEnd"/>
      <w:r>
        <w:rPr>
          <w:sz w:val="26"/>
          <w:szCs w:val="26"/>
        </w:rPr>
        <w:t xml:space="preserve"> valve qui a évité probablement de nombreuses morts). Bouleverse aussi les structures sociales de l’Irlande pdt et post-Famine (comme le rappelle</w:t>
      </w:r>
      <w:r w:rsidR="00BB00CF">
        <w:rPr>
          <w:sz w:val="26"/>
          <w:szCs w:val="26"/>
        </w:rPr>
        <w:t>nt</w:t>
      </w:r>
      <w:r>
        <w:rPr>
          <w:sz w:val="26"/>
          <w:szCs w:val="26"/>
        </w:rPr>
        <w:t xml:space="preserve"> Laurent </w:t>
      </w:r>
      <w:proofErr w:type="spellStart"/>
      <w:r>
        <w:rPr>
          <w:sz w:val="26"/>
          <w:szCs w:val="26"/>
        </w:rPr>
        <w:t>Colantonio</w:t>
      </w:r>
      <w:proofErr w:type="spellEnd"/>
      <w:r>
        <w:rPr>
          <w:sz w:val="26"/>
          <w:szCs w:val="26"/>
        </w:rPr>
        <w:t xml:space="preserve"> et </w:t>
      </w:r>
      <w:proofErr w:type="spellStart"/>
      <w:r w:rsidR="00BB00CF" w:rsidRPr="00BB00CF">
        <w:rPr>
          <w:sz w:val="26"/>
          <w:szCs w:val="26"/>
        </w:rPr>
        <w:t>Niall</w:t>
      </w:r>
      <w:proofErr w:type="spellEnd"/>
      <w:r w:rsidR="00BB00CF" w:rsidRPr="00BB00CF">
        <w:rPr>
          <w:sz w:val="26"/>
          <w:szCs w:val="26"/>
        </w:rPr>
        <w:t xml:space="preserve"> Ó </w:t>
      </w:r>
      <w:proofErr w:type="spellStart"/>
      <w:r w:rsidR="00BB00CF" w:rsidRPr="00BB00CF">
        <w:rPr>
          <w:sz w:val="26"/>
          <w:szCs w:val="26"/>
        </w:rPr>
        <w:t>Ciosáin</w:t>
      </w:r>
      <w:proofErr w:type="spellEnd"/>
      <w:r>
        <w:rPr>
          <w:sz w:val="26"/>
          <w:szCs w:val="26"/>
        </w:rPr>
        <w:t xml:space="preserve">) </w:t>
      </w:r>
    </w:p>
    <w:p w:rsidR="001F50A8" w:rsidRPr="001C7E5B" w:rsidRDefault="00E70C52" w:rsidP="001C7E5B">
      <w:pPr>
        <w:pStyle w:val="Paragraphedeliste"/>
        <w:numPr>
          <w:ilvl w:val="0"/>
          <w:numId w:val="5"/>
        </w:numPr>
        <w:spacing w:line="360" w:lineRule="auto"/>
        <w:rPr>
          <w:sz w:val="26"/>
          <w:szCs w:val="26"/>
        </w:rPr>
      </w:pPr>
      <w:r>
        <w:rPr>
          <w:sz w:val="26"/>
          <w:szCs w:val="26"/>
        </w:rPr>
        <w:t>Pistes + récentes : le phénomène de « migrations retour » ; l’étude de la contribution des migrants irlandais à la vie politique locale dans toutes les sociétés d’accueil.</w:t>
      </w:r>
    </w:p>
    <w:sectPr w:rsidR="001F50A8" w:rsidRPr="001C7E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B9" w:rsidRDefault="001154B9" w:rsidP="00811D3D">
      <w:pPr>
        <w:spacing w:after="0" w:line="240" w:lineRule="auto"/>
      </w:pPr>
      <w:r>
        <w:separator/>
      </w:r>
    </w:p>
  </w:endnote>
  <w:endnote w:type="continuationSeparator" w:id="0">
    <w:p w:rsidR="001154B9" w:rsidRDefault="001154B9" w:rsidP="0081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680420"/>
      <w:docPartObj>
        <w:docPartGallery w:val="Page Numbers (Bottom of Page)"/>
        <w:docPartUnique/>
      </w:docPartObj>
    </w:sdtPr>
    <w:sdtEndPr/>
    <w:sdtContent>
      <w:p w:rsidR="00306B66" w:rsidRDefault="00306B66">
        <w:pPr>
          <w:pStyle w:val="Pieddepage"/>
          <w:jc w:val="center"/>
        </w:pPr>
        <w:r>
          <w:fldChar w:fldCharType="begin"/>
        </w:r>
        <w:r>
          <w:instrText>PAGE   \* MERGEFORMAT</w:instrText>
        </w:r>
        <w:r>
          <w:fldChar w:fldCharType="separate"/>
        </w:r>
        <w:r w:rsidR="00917729">
          <w:rPr>
            <w:noProof/>
          </w:rPr>
          <w:t>1</w:t>
        </w:r>
        <w:r>
          <w:fldChar w:fldCharType="end"/>
        </w:r>
      </w:p>
    </w:sdtContent>
  </w:sdt>
  <w:p w:rsidR="00306B66" w:rsidRDefault="00306B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B9" w:rsidRDefault="001154B9" w:rsidP="00811D3D">
      <w:pPr>
        <w:spacing w:after="0" w:line="240" w:lineRule="auto"/>
      </w:pPr>
      <w:r>
        <w:separator/>
      </w:r>
    </w:p>
  </w:footnote>
  <w:footnote w:type="continuationSeparator" w:id="0">
    <w:p w:rsidR="001154B9" w:rsidRDefault="001154B9" w:rsidP="00811D3D">
      <w:pPr>
        <w:spacing w:after="0" w:line="240" w:lineRule="auto"/>
      </w:pPr>
      <w:r>
        <w:continuationSeparator/>
      </w:r>
    </w:p>
  </w:footnote>
  <w:footnote w:id="1">
    <w:p w:rsidR="001979B0" w:rsidRPr="00BA28A8" w:rsidRDefault="001979B0">
      <w:pPr>
        <w:pStyle w:val="Notedebasdepage"/>
        <w:rPr>
          <w:lang w:val="en-US"/>
        </w:rPr>
      </w:pPr>
      <w:r>
        <w:rPr>
          <w:rStyle w:val="Appelnotedebasdep"/>
        </w:rPr>
        <w:footnoteRef/>
      </w:r>
      <w:r w:rsidRPr="00BA28A8">
        <w:t xml:space="preserve"> Avant cela, pour ce qui concerne le cas britannique : un des premiers ouvrage académiques paraît en 1916 (Labour Migration in </w:t>
      </w:r>
      <w:proofErr w:type="spellStart"/>
      <w:r w:rsidRPr="00BA28A8">
        <w:t>England</w:t>
      </w:r>
      <w:proofErr w:type="spellEnd"/>
      <w:r w:rsidRPr="00BA28A8">
        <w:t xml:space="preserve">, 1800-1850 par Arthur Redford) mais peu retentissement. 1e ouvrage marquant sur le RU : John A. Jackson The Irish in </w:t>
      </w:r>
      <w:proofErr w:type="spellStart"/>
      <w:r w:rsidRPr="00BA28A8">
        <w:t>Britain</w:t>
      </w:r>
      <w:proofErr w:type="spellEnd"/>
      <w:r w:rsidRPr="00BA28A8">
        <w:t xml:space="preserve">. </w:t>
      </w:r>
      <w:r w:rsidRPr="00BA28A8">
        <w:rPr>
          <w:lang w:val="en-US"/>
        </w:rPr>
        <w:t>(</w:t>
      </w:r>
      <w:proofErr w:type="spellStart"/>
      <w:r w:rsidRPr="00BA28A8">
        <w:rPr>
          <w:lang w:val="en-US"/>
        </w:rPr>
        <w:t>Londres</w:t>
      </w:r>
      <w:proofErr w:type="spellEnd"/>
      <w:r w:rsidRPr="00BA28A8">
        <w:rPr>
          <w:lang w:val="en-US"/>
        </w:rPr>
        <w:t xml:space="preserve"> : </w:t>
      </w:r>
      <w:proofErr w:type="spellStart"/>
      <w:r w:rsidRPr="00BA28A8">
        <w:rPr>
          <w:lang w:val="en-US"/>
        </w:rPr>
        <w:t>Routledge</w:t>
      </w:r>
      <w:proofErr w:type="spellEnd"/>
      <w:r w:rsidRPr="00BA28A8">
        <w:rPr>
          <w:lang w:val="en-US"/>
        </w:rPr>
        <w:t>, 1963)</w:t>
      </w:r>
      <w:r>
        <w:rPr>
          <w:lang w:val="en-US"/>
        </w:rPr>
        <w:t>.</w:t>
      </w:r>
    </w:p>
  </w:footnote>
  <w:footnote w:id="2">
    <w:p w:rsidR="001979B0" w:rsidRPr="00107F06" w:rsidRDefault="001979B0" w:rsidP="0003519D">
      <w:pPr>
        <w:pStyle w:val="Notedebasdepage"/>
        <w:rPr>
          <w:lang w:val="en-US"/>
        </w:rPr>
      </w:pPr>
      <w:r w:rsidRPr="00171BD0">
        <w:rPr>
          <w:rStyle w:val="Appelnotedebasdep"/>
        </w:rPr>
        <w:footnoteRef/>
      </w:r>
      <w:r w:rsidRPr="00107F06">
        <w:rPr>
          <w:lang w:val="en-US"/>
        </w:rPr>
        <w:t xml:space="preserve"> SWIFT, Roger et GILLEY, Sheridan dir. </w:t>
      </w:r>
      <w:r w:rsidRPr="00107F06">
        <w:rPr>
          <w:i/>
          <w:iCs/>
          <w:lang w:val="en-US"/>
        </w:rPr>
        <w:t>The Irish in the Victorian City</w:t>
      </w:r>
      <w:r w:rsidRPr="00107F06">
        <w:rPr>
          <w:lang w:val="en-US"/>
        </w:rPr>
        <w:t xml:space="preserve">. </w:t>
      </w:r>
      <w:proofErr w:type="spellStart"/>
      <w:r w:rsidRPr="00107F06">
        <w:rPr>
          <w:lang w:val="en-US"/>
        </w:rPr>
        <w:t>Londres</w:t>
      </w:r>
      <w:proofErr w:type="spellEnd"/>
      <w:r w:rsidRPr="00107F06">
        <w:rPr>
          <w:lang w:val="en-US"/>
        </w:rPr>
        <w:t xml:space="preserve"> : </w:t>
      </w:r>
      <w:proofErr w:type="spellStart"/>
      <w:r w:rsidRPr="00107F06">
        <w:rPr>
          <w:lang w:val="en-US"/>
        </w:rPr>
        <w:t>Croom</w:t>
      </w:r>
      <w:proofErr w:type="spellEnd"/>
      <w:r w:rsidRPr="00107F06">
        <w:rPr>
          <w:lang w:val="en-US"/>
        </w:rPr>
        <w:t xml:space="preserve"> Helm, 1985. 312 p.</w:t>
      </w:r>
    </w:p>
  </w:footnote>
  <w:footnote w:id="3">
    <w:p w:rsidR="001979B0" w:rsidRPr="00107F06" w:rsidRDefault="001979B0" w:rsidP="0003519D">
      <w:pPr>
        <w:pStyle w:val="Notedebasdepage"/>
        <w:rPr>
          <w:lang w:val="en-US"/>
        </w:rPr>
      </w:pPr>
      <w:r w:rsidRPr="00171BD0">
        <w:rPr>
          <w:rStyle w:val="Appelnotedebasdep"/>
        </w:rPr>
        <w:footnoteRef/>
      </w:r>
      <w:r w:rsidRPr="00107F06">
        <w:rPr>
          <w:lang w:val="en-US"/>
        </w:rPr>
        <w:t> </w:t>
      </w:r>
      <w:proofErr w:type="spellStart"/>
      <w:r w:rsidRPr="00107F06">
        <w:rPr>
          <w:lang w:val="en-US"/>
        </w:rPr>
        <w:t>Cette</w:t>
      </w:r>
      <w:proofErr w:type="spellEnd"/>
      <w:r w:rsidRPr="00107F06">
        <w:rPr>
          <w:lang w:val="en-US"/>
        </w:rPr>
        <w:t xml:space="preserve"> perspective </w:t>
      </w:r>
      <w:proofErr w:type="spellStart"/>
      <w:r w:rsidRPr="00107F06">
        <w:rPr>
          <w:lang w:val="en-US"/>
        </w:rPr>
        <w:t>est</w:t>
      </w:r>
      <w:proofErr w:type="spellEnd"/>
      <w:r w:rsidRPr="00107F06">
        <w:rPr>
          <w:lang w:val="en-US"/>
        </w:rPr>
        <w:t xml:space="preserve"> </w:t>
      </w:r>
      <w:proofErr w:type="spellStart"/>
      <w:r w:rsidRPr="00107F06">
        <w:rPr>
          <w:lang w:val="en-US"/>
        </w:rPr>
        <w:t>formulée</w:t>
      </w:r>
      <w:proofErr w:type="spellEnd"/>
      <w:r w:rsidRPr="00107F06">
        <w:rPr>
          <w:lang w:val="en-US"/>
        </w:rPr>
        <w:t xml:space="preserve"> par </w:t>
      </w:r>
      <w:proofErr w:type="spellStart"/>
      <w:r w:rsidRPr="00107F06">
        <w:rPr>
          <w:lang w:val="en-US"/>
        </w:rPr>
        <w:t>Gearoid</w:t>
      </w:r>
      <w:proofErr w:type="spellEnd"/>
      <w:r w:rsidRPr="00107F06">
        <w:rPr>
          <w:lang w:val="en-US"/>
        </w:rPr>
        <w:t xml:space="preserve"> </w:t>
      </w:r>
      <w:proofErr w:type="spellStart"/>
      <w:r w:rsidRPr="00107F06">
        <w:rPr>
          <w:lang w:val="en-US"/>
        </w:rPr>
        <w:t>Ó’Tuathaigh</w:t>
      </w:r>
      <w:proofErr w:type="spellEnd"/>
      <w:r w:rsidRPr="00107F06">
        <w:rPr>
          <w:lang w:val="en-US"/>
        </w:rPr>
        <w:t xml:space="preserve"> </w:t>
      </w:r>
      <w:proofErr w:type="spellStart"/>
      <w:r w:rsidRPr="00107F06">
        <w:rPr>
          <w:lang w:val="en-US"/>
        </w:rPr>
        <w:t>dans</w:t>
      </w:r>
      <w:proofErr w:type="spellEnd"/>
      <w:r w:rsidRPr="00107F06">
        <w:rPr>
          <w:lang w:val="en-US"/>
        </w:rPr>
        <w:t xml:space="preserve"> : Ó’TUATHAIGH, G. The Irish in Nineteenth Century Britain : Problems of Integration. In SWIFT, Roger et GILLEY, Sheridan dir. </w:t>
      </w:r>
      <w:r w:rsidRPr="00107F06">
        <w:rPr>
          <w:i/>
          <w:iCs/>
          <w:lang w:val="en-US"/>
        </w:rPr>
        <w:t>The Irish in the Victorian City</w:t>
      </w:r>
      <w:r w:rsidRPr="00107F06">
        <w:rPr>
          <w:lang w:val="en-US"/>
        </w:rPr>
        <w:t xml:space="preserve">..., </w:t>
      </w:r>
      <w:r w:rsidRPr="00107F06">
        <w:rPr>
          <w:i/>
          <w:iCs/>
          <w:lang w:val="en-US"/>
        </w:rPr>
        <w:t>op. cit.</w:t>
      </w:r>
      <w:r w:rsidRPr="00107F06">
        <w:rPr>
          <w:lang w:val="en-US"/>
        </w:rPr>
        <w:t>, p. 13-29.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3B21"/>
    <w:multiLevelType w:val="hybridMultilevel"/>
    <w:tmpl w:val="6602B562"/>
    <w:lvl w:ilvl="0" w:tplc="2F9A75E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39C464C5"/>
    <w:multiLevelType w:val="hybridMultilevel"/>
    <w:tmpl w:val="F06CEC48"/>
    <w:lvl w:ilvl="0" w:tplc="7BC83C34">
      <w:start w:val="2"/>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D5115B3"/>
    <w:multiLevelType w:val="hybridMultilevel"/>
    <w:tmpl w:val="262A846A"/>
    <w:lvl w:ilvl="0" w:tplc="DB4EBAA6">
      <w:start w:val="18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736DAF"/>
    <w:multiLevelType w:val="hybridMultilevel"/>
    <w:tmpl w:val="EB2C86F6"/>
    <w:lvl w:ilvl="0" w:tplc="2EF0FC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E87DE4"/>
    <w:multiLevelType w:val="hybridMultilevel"/>
    <w:tmpl w:val="86A28D24"/>
    <w:lvl w:ilvl="0" w:tplc="F428692E">
      <w:start w:val="2"/>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6F4A361A"/>
    <w:multiLevelType w:val="hybridMultilevel"/>
    <w:tmpl w:val="B2D40BAA"/>
    <w:lvl w:ilvl="0" w:tplc="73A624F8">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202B84"/>
    <w:multiLevelType w:val="hybridMultilevel"/>
    <w:tmpl w:val="44AE3D30"/>
    <w:lvl w:ilvl="0" w:tplc="7A5C864A">
      <w:start w:val="185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462B45"/>
    <w:multiLevelType w:val="hybridMultilevel"/>
    <w:tmpl w:val="AFCCD0DC"/>
    <w:lvl w:ilvl="0" w:tplc="90047EB0">
      <w:start w:val="2"/>
      <w:numFmt w:val="bullet"/>
      <w:lvlText w:val="–"/>
      <w:lvlJc w:val="left"/>
      <w:pPr>
        <w:ind w:left="644" w:hanging="360"/>
      </w:pPr>
      <w:rPr>
        <w:rFonts w:ascii="Calibri Light" w:eastAsiaTheme="majorEastAsia" w:hAnsi="Calibri Light" w:cstheme="maj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B9"/>
    <w:rsid w:val="0001039F"/>
    <w:rsid w:val="000159EE"/>
    <w:rsid w:val="0003519D"/>
    <w:rsid w:val="00076B2B"/>
    <w:rsid w:val="000801F3"/>
    <w:rsid w:val="000B3185"/>
    <w:rsid w:val="000D4952"/>
    <w:rsid w:val="001154B9"/>
    <w:rsid w:val="00140E0A"/>
    <w:rsid w:val="001447BD"/>
    <w:rsid w:val="00155677"/>
    <w:rsid w:val="001979B0"/>
    <w:rsid w:val="001C7E5B"/>
    <w:rsid w:val="001E0E8C"/>
    <w:rsid w:val="001F50A8"/>
    <w:rsid w:val="002060B9"/>
    <w:rsid w:val="002350BF"/>
    <w:rsid w:val="002448CC"/>
    <w:rsid w:val="00295955"/>
    <w:rsid w:val="002B6345"/>
    <w:rsid w:val="002B7A40"/>
    <w:rsid w:val="002E4A1B"/>
    <w:rsid w:val="00306B66"/>
    <w:rsid w:val="00310797"/>
    <w:rsid w:val="00316E7C"/>
    <w:rsid w:val="003A2E8D"/>
    <w:rsid w:val="003B1B17"/>
    <w:rsid w:val="003F6DA6"/>
    <w:rsid w:val="00400958"/>
    <w:rsid w:val="0043197C"/>
    <w:rsid w:val="004353A5"/>
    <w:rsid w:val="00446BFA"/>
    <w:rsid w:val="004C2B49"/>
    <w:rsid w:val="005D07BC"/>
    <w:rsid w:val="005E4C87"/>
    <w:rsid w:val="00602C1A"/>
    <w:rsid w:val="0061281A"/>
    <w:rsid w:val="00632C3B"/>
    <w:rsid w:val="0063430E"/>
    <w:rsid w:val="00667A15"/>
    <w:rsid w:val="0067191B"/>
    <w:rsid w:val="00691B22"/>
    <w:rsid w:val="0071362D"/>
    <w:rsid w:val="00767EAB"/>
    <w:rsid w:val="007720A9"/>
    <w:rsid w:val="00783C71"/>
    <w:rsid w:val="007D0CD5"/>
    <w:rsid w:val="007D491A"/>
    <w:rsid w:val="00811D3D"/>
    <w:rsid w:val="008415B1"/>
    <w:rsid w:val="0084438B"/>
    <w:rsid w:val="00861DDD"/>
    <w:rsid w:val="00897685"/>
    <w:rsid w:val="008B6428"/>
    <w:rsid w:val="00917729"/>
    <w:rsid w:val="009613A6"/>
    <w:rsid w:val="009A5033"/>
    <w:rsid w:val="009B5395"/>
    <w:rsid w:val="009C0CE3"/>
    <w:rsid w:val="009C0E16"/>
    <w:rsid w:val="009E4B81"/>
    <w:rsid w:val="009F501E"/>
    <w:rsid w:val="00A23895"/>
    <w:rsid w:val="00A27C35"/>
    <w:rsid w:val="00A6560C"/>
    <w:rsid w:val="00AA4C33"/>
    <w:rsid w:val="00AC5E4E"/>
    <w:rsid w:val="00B033D0"/>
    <w:rsid w:val="00B36E73"/>
    <w:rsid w:val="00B7715D"/>
    <w:rsid w:val="00B82424"/>
    <w:rsid w:val="00B94FEE"/>
    <w:rsid w:val="00BA28A8"/>
    <w:rsid w:val="00BB00CF"/>
    <w:rsid w:val="00BD3A00"/>
    <w:rsid w:val="00C118CE"/>
    <w:rsid w:val="00C17B29"/>
    <w:rsid w:val="00CC2ECF"/>
    <w:rsid w:val="00CD33A3"/>
    <w:rsid w:val="00D31D2D"/>
    <w:rsid w:val="00D44936"/>
    <w:rsid w:val="00DA05B2"/>
    <w:rsid w:val="00DD4911"/>
    <w:rsid w:val="00DF1FBD"/>
    <w:rsid w:val="00E364E3"/>
    <w:rsid w:val="00E43553"/>
    <w:rsid w:val="00E44E55"/>
    <w:rsid w:val="00E50099"/>
    <w:rsid w:val="00E61D74"/>
    <w:rsid w:val="00E70A37"/>
    <w:rsid w:val="00E70C52"/>
    <w:rsid w:val="00E9172B"/>
    <w:rsid w:val="00E9317F"/>
    <w:rsid w:val="00EB366D"/>
    <w:rsid w:val="00ED44EB"/>
    <w:rsid w:val="00ED5413"/>
    <w:rsid w:val="00EE4051"/>
    <w:rsid w:val="00EF1D3B"/>
    <w:rsid w:val="00F05CBD"/>
    <w:rsid w:val="00F2700C"/>
    <w:rsid w:val="00F93ACD"/>
    <w:rsid w:val="00FE1B4B"/>
    <w:rsid w:val="00FE27D7"/>
    <w:rsid w:val="00FF24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A5"/>
    <w:pPr>
      <w:jc w:val="both"/>
    </w:pPr>
    <w:rPr>
      <w:rFonts w:ascii="Garamond" w:hAnsi="Garamond"/>
    </w:rPr>
  </w:style>
  <w:style w:type="paragraph" w:styleId="Titre1">
    <w:name w:val="heading 1"/>
    <w:basedOn w:val="Normal"/>
    <w:next w:val="Normal"/>
    <w:link w:val="Titre1Car"/>
    <w:uiPriority w:val="9"/>
    <w:qFormat/>
    <w:rsid w:val="009C0E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C0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60B9"/>
    <w:pPr>
      <w:ind w:left="720"/>
      <w:contextualSpacing/>
    </w:pPr>
  </w:style>
  <w:style w:type="character" w:customStyle="1" w:styleId="Titre2Car">
    <w:name w:val="Titre 2 Car"/>
    <w:basedOn w:val="Policepardfaut"/>
    <w:link w:val="Titre2"/>
    <w:uiPriority w:val="9"/>
    <w:rsid w:val="009C0E16"/>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9C0E16"/>
    <w:rPr>
      <w:rFonts w:asciiTheme="majorHAnsi" w:eastAsiaTheme="majorEastAsia" w:hAnsiTheme="majorHAnsi" w:cstheme="majorBidi"/>
      <w:color w:val="2E74B5" w:themeColor="accent1" w:themeShade="BF"/>
      <w:sz w:val="32"/>
      <w:szCs w:val="32"/>
    </w:rPr>
  </w:style>
  <w:style w:type="paragraph" w:styleId="Notedebasdepage">
    <w:name w:val="footnote text"/>
    <w:link w:val="NotedebasdepageCar"/>
    <w:autoRedefine/>
    <w:semiHidden/>
    <w:rsid w:val="00811D3D"/>
    <w:pPr>
      <w:autoSpaceDE w:val="0"/>
      <w:autoSpaceDN w:val="0"/>
      <w:spacing w:after="12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11D3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811D3D"/>
    <w:rPr>
      <w:vertAlign w:val="superscript"/>
    </w:rPr>
  </w:style>
  <w:style w:type="paragraph" w:customStyle="1" w:styleId="CitationCar">
    <w:name w:val="Citation Car"/>
    <w:basedOn w:val="Normal"/>
    <w:next w:val="Normal"/>
    <w:link w:val="CitationCarCar1"/>
    <w:rsid w:val="00811D3D"/>
    <w:pPr>
      <w:spacing w:before="120" w:after="240" w:line="240" w:lineRule="auto"/>
      <w:ind w:left="1134" w:right="907"/>
    </w:pPr>
    <w:rPr>
      <w:rFonts w:ascii="Times New Roman" w:eastAsia="Times New Roman" w:hAnsi="Times New Roman" w:cs="Times New Roman"/>
      <w:szCs w:val="20"/>
      <w:lang w:eastAsia="fr-FR"/>
    </w:rPr>
  </w:style>
  <w:style w:type="character" w:customStyle="1" w:styleId="CitationCarCar1">
    <w:name w:val="Citation Car Car1"/>
    <w:basedOn w:val="Policepardfaut"/>
    <w:link w:val="CitationCar"/>
    <w:rsid w:val="00811D3D"/>
    <w:rPr>
      <w:rFonts w:ascii="Times New Roman" w:eastAsia="Times New Roman" w:hAnsi="Times New Roman" w:cs="Times New Roman"/>
      <w:szCs w:val="20"/>
      <w:lang w:eastAsia="fr-FR"/>
    </w:rPr>
  </w:style>
  <w:style w:type="paragraph" w:styleId="Notedefin">
    <w:name w:val="endnote text"/>
    <w:basedOn w:val="Normal"/>
    <w:link w:val="NotedefinCar"/>
    <w:uiPriority w:val="99"/>
    <w:unhideWhenUsed/>
    <w:rsid w:val="00ED5413"/>
    <w:pPr>
      <w:spacing w:after="0" w:line="240" w:lineRule="auto"/>
      <w:ind w:firstLine="600"/>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rsid w:val="00ED5413"/>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ED5413"/>
    <w:rPr>
      <w:vertAlign w:val="superscript"/>
    </w:rPr>
  </w:style>
  <w:style w:type="paragraph" w:styleId="Textedebulles">
    <w:name w:val="Balloon Text"/>
    <w:basedOn w:val="Normal"/>
    <w:link w:val="TextedebullesCar"/>
    <w:uiPriority w:val="99"/>
    <w:semiHidden/>
    <w:unhideWhenUsed/>
    <w:rsid w:val="00076B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B2B"/>
    <w:rPr>
      <w:rFonts w:ascii="Segoe UI" w:hAnsi="Segoe UI" w:cs="Segoe UI"/>
      <w:sz w:val="18"/>
      <w:szCs w:val="18"/>
    </w:rPr>
  </w:style>
  <w:style w:type="paragraph" w:styleId="Titre">
    <w:name w:val="Title"/>
    <w:basedOn w:val="Normal"/>
    <w:next w:val="Normal"/>
    <w:link w:val="TitreCar"/>
    <w:uiPriority w:val="10"/>
    <w:qFormat/>
    <w:rsid w:val="00076B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6B2B"/>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306B66"/>
    <w:pPr>
      <w:tabs>
        <w:tab w:val="center" w:pos="4536"/>
        <w:tab w:val="right" w:pos="9072"/>
      </w:tabs>
      <w:spacing w:after="0" w:line="240" w:lineRule="auto"/>
    </w:pPr>
  </w:style>
  <w:style w:type="character" w:customStyle="1" w:styleId="En-tteCar">
    <w:name w:val="En-tête Car"/>
    <w:basedOn w:val="Policepardfaut"/>
    <w:link w:val="En-tte"/>
    <w:uiPriority w:val="99"/>
    <w:rsid w:val="00306B66"/>
    <w:rPr>
      <w:rFonts w:ascii="Garamond" w:hAnsi="Garamond"/>
    </w:rPr>
  </w:style>
  <w:style w:type="paragraph" w:styleId="Pieddepage">
    <w:name w:val="footer"/>
    <w:basedOn w:val="Normal"/>
    <w:link w:val="PieddepageCar"/>
    <w:uiPriority w:val="99"/>
    <w:unhideWhenUsed/>
    <w:rsid w:val="00306B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6B66"/>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A5"/>
    <w:pPr>
      <w:jc w:val="both"/>
    </w:pPr>
    <w:rPr>
      <w:rFonts w:ascii="Garamond" w:hAnsi="Garamond"/>
    </w:rPr>
  </w:style>
  <w:style w:type="paragraph" w:styleId="Titre1">
    <w:name w:val="heading 1"/>
    <w:basedOn w:val="Normal"/>
    <w:next w:val="Normal"/>
    <w:link w:val="Titre1Car"/>
    <w:uiPriority w:val="9"/>
    <w:qFormat/>
    <w:rsid w:val="009C0E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C0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60B9"/>
    <w:pPr>
      <w:ind w:left="720"/>
      <w:contextualSpacing/>
    </w:pPr>
  </w:style>
  <w:style w:type="character" w:customStyle="1" w:styleId="Titre2Car">
    <w:name w:val="Titre 2 Car"/>
    <w:basedOn w:val="Policepardfaut"/>
    <w:link w:val="Titre2"/>
    <w:uiPriority w:val="9"/>
    <w:rsid w:val="009C0E16"/>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9C0E16"/>
    <w:rPr>
      <w:rFonts w:asciiTheme="majorHAnsi" w:eastAsiaTheme="majorEastAsia" w:hAnsiTheme="majorHAnsi" w:cstheme="majorBidi"/>
      <w:color w:val="2E74B5" w:themeColor="accent1" w:themeShade="BF"/>
      <w:sz w:val="32"/>
      <w:szCs w:val="32"/>
    </w:rPr>
  </w:style>
  <w:style w:type="paragraph" w:styleId="Notedebasdepage">
    <w:name w:val="footnote text"/>
    <w:link w:val="NotedebasdepageCar"/>
    <w:autoRedefine/>
    <w:semiHidden/>
    <w:rsid w:val="00811D3D"/>
    <w:pPr>
      <w:autoSpaceDE w:val="0"/>
      <w:autoSpaceDN w:val="0"/>
      <w:spacing w:after="12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11D3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811D3D"/>
    <w:rPr>
      <w:vertAlign w:val="superscript"/>
    </w:rPr>
  </w:style>
  <w:style w:type="paragraph" w:customStyle="1" w:styleId="CitationCar">
    <w:name w:val="Citation Car"/>
    <w:basedOn w:val="Normal"/>
    <w:next w:val="Normal"/>
    <w:link w:val="CitationCarCar1"/>
    <w:rsid w:val="00811D3D"/>
    <w:pPr>
      <w:spacing w:before="120" w:after="240" w:line="240" w:lineRule="auto"/>
      <w:ind w:left="1134" w:right="907"/>
    </w:pPr>
    <w:rPr>
      <w:rFonts w:ascii="Times New Roman" w:eastAsia="Times New Roman" w:hAnsi="Times New Roman" w:cs="Times New Roman"/>
      <w:szCs w:val="20"/>
      <w:lang w:eastAsia="fr-FR"/>
    </w:rPr>
  </w:style>
  <w:style w:type="character" w:customStyle="1" w:styleId="CitationCarCar1">
    <w:name w:val="Citation Car Car1"/>
    <w:basedOn w:val="Policepardfaut"/>
    <w:link w:val="CitationCar"/>
    <w:rsid w:val="00811D3D"/>
    <w:rPr>
      <w:rFonts w:ascii="Times New Roman" w:eastAsia="Times New Roman" w:hAnsi="Times New Roman" w:cs="Times New Roman"/>
      <w:szCs w:val="20"/>
      <w:lang w:eastAsia="fr-FR"/>
    </w:rPr>
  </w:style>
  <w:style w:type="paragraph" w:styleId="Notedefin">
    <w:name w:val="endnote text"/>
    <w:basedOn w:val="Normal"/>
    <w:link w:val="NotedefinCar"/>
    <w:uiPriority w:val="99"/>
    <w:unhideWhenUsed/>
    <w:rsid w:val="00ED5413"/>
    <w:pPr>
      <w:spacing w:after="0" w:line="240" w:lineRule="auto"/>
      <w:ind w:firstLine="600"/>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rsid w:val="00ED5413"/>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ED5413"/>
    <w:rPr>
      <w:vertAlign w:val="superscript"/>
    </w:rPr>
  </w:style>
  <w:style w:type="paragraph" w:styleId="Textedebulles">
    <w:name w:val="Balloon Text"/>
    <w:basedOn w:val="Normal"/>
    <w:link w:val="TextedebullesCar"/>
    <w:uiPriority w:val="99"/>
    <w:semiHidden/>
    <w:unhideWhenUsed/>
    <w:rsid w:val="00076B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6B2B"/>
    <w:rPr>
      <w:rFonts w:ascii="Segoe UI" w:hAnsi="Segoe UI" w:cs="Segoe UI"/>
      <w:sz w:val="18"/>
      <w:szCs w:val="18"/>
    </w:rPr>
  </w:style>
  <w:style w:type="paragraph" w:styleId="Titre">
    <w:name w:val="Title"/>
    <w:basedOn w:val="Normal"/>
    <w:next w:val="Normal"/>
    <w:link w:val="TitreCar"/>
    <w:uiPriority w:val="10"/>
    <w:qFormat/>
    <w:rsid w:val="00076B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6B2B"/>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306B66"/>
    <w:pPr>
      <w:tabs>
        <w:tab w:val="center" w:pos="4536"/>
        <w:tab w:val="right" w:pos="9072"/>
      </w:tabs>
      <w:spacing w:after="0" w:line="240" w:lineRule="auto"/>
    </w:pPr>
  </w:style>
  <w:style w:type="character" w:customStyle="1" w:styleId="En-tteCar">
    <w:name w:val="En-tête Car"/>
    <w:basedOn w:val="Policepardfaut"/>
    <w:link w:val="En-tte"/>
    <w:uiPriority w:val="99"/>
    <w:rsid w:val="00306B66"/>
    <w:rPr>
      <w:rFonts w:ascii="Garamond" w:hAnsi="Garamond"/>
    </w:rPr>
  </w:style>
  <w:style w:type="paragraph" w:styleId="Pieddepage">
    <w:name w:val="footer"/>
    <w:basedOn w:val="Normal"/>
    <w:link w:val="PieddepageCar"/>
    <w:uiPriority w:val="99"/>
    <w:unhideWhenUsed/>
    <w:rsid w:val="00306B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6B66"/>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84976">
      <w:bodyDiv w:val="1"/>
      <w:marLeft w:val="0"/>
      <w:marRight w:val="0"/>
      <w:marTop w:val="0"/>
      <w:marBottom w:val="0"/>
      <w:divBdr>
        <w:top w:val="none" w:sz="0" w:space="0" w:color="auto"/>
        <w:left w:val="none" w:sz="0" w:space="0" w:color="auto"/>
        <w:bottom w:val="none" w:sz="0" w:space="0" w:color="auto"/>
        <w:right w:val="none" w:sz="0" w:space="0" w:color="auto"/>
      </w:divBdr>
    </w:div>
    <w:div w:id="12597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1629</Words>
  <Characters>8960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Géraldine</dc:creator>
  <cp:lastModifiedBy>Utilisateur</cp:lastModifiedBy>
  <cp:revision>2</cp:revision>
  <cp:lastPrinted>2014-12-11T12:01:00Z</cp:lastPrinted>
  <dcterms:created xsi:type="dcterms:W3CDTF">2014-12-19T14:02:00Z</dcterms:created>
  <dcterms:modified xsi:type="dcterms:W3CDTF">2014-12-19T14:02:00Z</dcterms:modified>
</cp:coreProperties>
</file>